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2">
      <w:pPr>
        <w:jc w:val="center"/>
        <w:rPr>
          <w:rFonts w:ascii="Helvetica Neue" w:cs="Helvetica Neue" w:eastAsia="Helvetica Neue" w:hAnsi="Helvetica Neue"/>
          <w:color w:val="003c82"/>
          <w:sz w:val="32"/>
          <w:szCs w:val="32"/>
        </w:rPr>
      </w:pPr>
      <w:r w:rsidDel="00000000" w:rsidR="00000000" w:rsidRPr="00000000">
        <w:rPr>
          <w:rFonts w:ascii="Helvetica Neue" w:cs="Helvetica Neue" w:eastAsia="Helvetica Neue" w:hAnsi="Helvetica Neue"/>
          <w:color w:val="003c82"/>
          <w:sz w:val="32"/>
          <w:szCs w:val="32"/>
        </w:rPr>
        <w:drawing>
          <wp:inline distB="0" distT="0" distL="0" distR="0">
            <wp:extent cx="3048000" cy="1216000"/>
            <wp:effectExtent b="0" l="0" r="0" t="0"/>
            <wp:docPr descr="A blue and white logo&#10;&#10;Description automatically generated" id="2077838571" name="image1.jpg"/>
            <a:graphic>
              <a:graphicData uri="http://schemas.openxmlformats.org/drawingml/2006/picture">
                <pic:pic>
                  <pic:nvPicPr>
                    <pic:cNvPr descr="A blue and white logo&#10;&#10;Description automatically generated" id="0" name="image1.jpg"/>
                    <pic:cNvPicPr preferRelativeResize="0"/>
                  </pic:nvPicPr>
                  <pic:blipFill>
                    <a:blip r:embed="rId7"/>
                    <a:srcRect b="0" l="0" r="0" t="0"/>
                    <a:stretch>
                      <a:fillRect/>
                    </a:stretch>
                  </pic:blipFill>
                  <pic:spPr>
                    <a:xfrm>
                      <a:off x="0" y="0"/>
                      <a:ext cx="3048000" cy="1216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rFonts w:ascii="Helvetica Neue" w:cs="Helvetica Neue" w:eastAsia="Helvetica Neue" w:hAnsi="Helvetica Neue"/>
        </w:rPr>
      </w:pPr>
      <w:r w:rsidDel="00000000" w:rsidR="00000000" w:rsidRPr="00000000">
        <w:rPr>
          <w:rFonts w:ascii="Helvetica Neue" w:cs="Helvetica Neue" w:eastAsia="Helvetica Neue" w:hAnsi="Helvetica Neue"/>
          <w:color w:val="003c82"/>
          <w:sz w:val="32"/>
          <w:szCs w:val="32"/>
          <w:rtl w:val="0"/>
        </w:rPr>
        <w:t xml:space="preserve">DRONE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600" w:lineRule="auto"/>
        <w:jc w:val="center"/>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tl w:val="0"/>
        </w:rPr>
        <w:t xml:space="preserve">Teacher and school leaders training to promote Digital liteRacy and combat the spread of disinfOrmation among vulNerable groups of adolEscents</w:t>
      </w:r>
    </w:p>
    <w:p w:rsidR="00000000" w:rsidDel="00000000" w:rsidP="00000000" w:rsidRDefault="00000000" w:rsidRPr="00000000" w14:paraId="00000005">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6">
      <w:pPr>
        <w:jc w:val="cente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7">
      <w:pPr>
        <w:pStyle w:val="Heading3"/>
        <w:rPr/>
      </w:pPr>
      <w:bookmarkStart w:colFirst="0" w:colLast="0" w:name="_heading=h.hxgxbxy8q3uo" w:id="0"/>
      <w:bookmarkEnd w:id="0"/>
      <w:r w:rsidDel="00000000" w:rsidR="00000000" w:rsidRPr="00000000">
        <w:rPr>
          <w:rtl w:val="0"/>
        </w:rPr>
        <w:t xml:space="preserve">Section 2:</w:t>
      </w:r>
      <w:r w:rsidDel="00000000" w:rsidR="00000000" w:rsidRPr="00000000">
        <w:rPr>
          <w:rtl w:val="0"/>
        </w:rPr>
        <w:t xml:space="preserve"> Introduction to Information Literacy</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section introduces fundamental concepts like misinformation types and key frameworks. The readings provide the theoretical and practical foundation for understanding information literacy in the digital age.</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Alcolea-Díaz, G., Reig, R., &amp; Mancinas-Chávez, R. (2020). UNESCO's Media and Information Literacy Curriculum for Teachers from the Perspective of Structural Considerations of Information. Comunicar: Media Education Research Journal, 28(62), 99-109. https://eric.ed.gov/?id=EJ1239122</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article provides a scholarly analysis of the UNESCO framework, offering valuable insights for teachers and school leaders on how to apply its principles.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Aïmeur, E., Amri, S., &amp; Brassard, G. (2019). Fake news, disinformation and misinformation in social media: A review. Cybersecurity, 2(1), 1-14. https://doi.org/10.1186/s42400-019-0027-4</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comprehensive review clearly defines and differentiates between fake news, misinformation, and disinformation, providing a strong theoretical basis for the "Truth or Trash?" activity.</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Goodsett, M. (2017). Critical thinking and the ACRL framework: Fake news and fallacies. Academic Library Association of Ohio. https://engagedscholarship.csuohio.edu/msl_facpub/144/</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presentation offers a practical guide to connecting the ACRL Framework's principles with critical thinking skills, directly supporting the pedagogical approach of the module.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Association of College and Research Libraries. (2016). Framework for information literacy for higher education. American Library Association. https://www.ala.org/acrl/standards/ilframework</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is the official source of the ACRL framework, making it a foundational and compulsory reading for understanding the module's core principles.</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Pérez-Escolar, M., Lilleker, D., &amp; Tapia-Frade, A. (2023). A systematic literature review of the phenomenon of disinformation and misinformation. Media and Communication, 11(2), 76-87. https://doi.org/10.17645/mac.v11i2.6453</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systematic review provides a broad overview of the research landscape on disinformation, giving participants a robust understanding of the concepts introduced in this section.</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Cho, H., Cannon, J., Lopez, R., &amp; Li, W. (2022). Social media literacy: A conceptual framework.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New Media &amp; Society, 24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941–960.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article introduces a framework for social media literacy, which is an excellent resource for contextualizing both activities. It discusses how media literacy concepts are applied to social media and how users construct their own realities</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8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Vanwynsberghe, H., &amp; Verdegem, P. (2013). Integrating social media in education.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Computers and Education, 15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1–10.  </w:t>
      </w:r>
      <w:hyperlink r:id="rId8">
        <w:r w:rsidDel="00000000" w:rsidR="00000000" w:rsidRPr="00000000">
          <w:rPr>
            <w:rFonts w:ascii="Times New Roman" w:cs="Times New Roman" w:eastAsia="Times New Roman" w:hAnsi="Times New Roman"/>
            <w:b w:val="0"/>
            <w:i w:val="0"/>
            <w:smallCaps w:val="0"/>
            <w:strike w:val="0"/>
            <w:color w:val="0563c1"/>
            <w:sz w:val="22"/>
            <w:szCs w:val="22"/>
            <w:u w:val="single"/>
            <w:shd w:fill="auto" w:val="clear"/>
            <w:vertAlign w:val="baseline"/>
            <w:rtl w:val="0"/>
          </w:rPr>
          <w:t xml:space="preserve">https://doi.org/10.7771/1481-4374.2247</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article discusses how social media literacy is an updated form of media literacy. It provides a framework for integrating social media literacy into education, supporting the "Map Your Info Flow" activity.</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3"/>
        <w:rPr/>
      </w:pPr>
      <w:r w:rsidDel="00000000" w:rsidR="00000000" w:rsidRPr="00000000">
        <w:rPr>
          <w:rtl w:val="0"/>
        </w:rPr>
        <w:t xml:space="preserve">Section 3: Smart Search Strategies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section focuses on practical search skills and algorithmic awareness. The readings provide a technical and pedagogical foundation for effective digital searching.</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Grassini, S. (2023). Shaping the future of education: Exploring the potential and consequences of AI and ChatGPT in educational settings. Education Sciences, 13(7), 692. https://doi.org/10.3390/educsci13070692</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article is highly relevant for the activity on AI's impact, discussing how AI tools influence learning and the need for new critical skills.</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Scells, H., Zuccon, G., Koopman, B., &amp; Clark, J. (2020). Automatic boolean query formulation for systematic review literature search. In Proceedings of the web conference 2020 (pp. 1071-1081). ACM. https://dl.acm.org/doi/abs/10.1145/3366423.3380185?casa_token=h-cFai39kLsAAAAA:mZMdzKyJey2R3VqGTNdS-dGia9XoSpm3FvlZvirp2-K35AicRtgjpkcbmyIbYlg4mbQ-s-F5RFkNPA</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technical but highly relevant article for the activity on Boolean operators, providing a research-backed perspective on why these structured searches are effective.</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Pawar, M., Dhotare, V., Urunkar, N., Andalgavkarkulkarni, Y., Shahane, D., &amp; Pawar, A. S. (2025). Comparative Impact of AI and Search Technologies on Outcome-Based Learning in Engineering Education. Journal of Engineering Education Transformations. https://journaleet.in/index.php/jeet/article/view/2128</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resource directly addresses the impact of AI on search technologies in an educational context, supporting the core themes of this section's activities.</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Morel, T., Granikov, V., Kulshreshtha, A., Young, R., &amp; Fournier, J. P. (2025). Getting started with search filters in primary care literature reviews. Family Practice, 42(4), cmaf037. https://doi.org/10.1093/fampra/cmaf037</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Provides a practical guide on using search filters, which is a key component of the module's "Mastering Boolean Operators &amp; Advanced Filters" activity.</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Iosifidis, P., &amp; Nicoli, N. (2020). Digital democracy, social media and disinformation. Routledge.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book on how algorithms influence information visibility provide excellent background for the discussion on AI's impact on search results.</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pStyle w:val="Heading3"/>
        <w:rPr/>
      </w:pPr>
      <w:r w:rsidDel="00000000" w:rsidR="00000000" w:rsidRPr="00000000">
        <w:rPr>
          <w:rtl w:val="0"/>
        </w:rPr>
        <w:t xml:space="preserve">Section 4: Source Evaluation Lab</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section is about hands-on evaluation methods. The readings provide the theoretical and practical basis for these tools and the new challenges posed by AI.</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Espina, D. N. P., &amp; Spracklin, E. (2023). SIFT Notebook Assignment. WWU Library Faculty &amp; Staff Publications. https://cedar.wwu.edu/library_facpubs/73/</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is a practical, pedagogical resource that outlines a SIFT-based assignment, making it perfect for teachers and leaders who want to implement the method in their own contexts.</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Liang, C. J. M., Karlsson, B. F., Lane, N. D., Zhao, F., Zhang, J., Pan, Z., ... &amp; Yu, Y. (2015). SIFT: building an internet of safe things. In Proceedings of the 14th International Conference on Information Processing in Sensor Networks (pp. 298-309). ACM. https://discovery.ucl.ac.uk/id/eprint/1503682/</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While a technical paper about a different "SIFT" acronym, it introduces the core principle of using structured methodologies to build secure systems, which can be used to illustrate the value of a systematic approach to verification.</w:t>
      </w:r>
    </w:p>
    <w:p w:rsidR="00000000" w:rsidDel="00000000" w:rsidP="00000000" w:rsidRDefault="00000000" w:rsidRPr="00000000" w14:paraId="0000002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Amerini, I., Ballan, L., Caldelli, R., Del Bimbo, A., &amp; Serra, G. (2011). A sift-based forensic method for copy–move attack detection and transformation recovery. IEEE Transactions on Information Forensics and Security, 6(3), 1099-1110. https://ieeexplore.ieee.org/document/5734842</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technical resource provides a deep dive into forensic analysis, offering a detailed explanation of image manipulation that is relevant to the activity on spotting AI-generated content and manipulated visuals.</w:t>
      </w:r>
    </w:p>
    <w:p w:rsidR="00000000" w:rsidDel="00000000" w:rsidP="00000000" w:rsidRDefault="00000000" w:rsidRPr="00000000" w14:paraId="000000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Muis, K. R., Denton, C., &amp; Dubé, A. (2022). Identifying CRAAP on the internet: A source evaluation intervention.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Advances in Social Sciences Research Journal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239-265. https://www.researchgate.net/profile/Adam-Dube/publication/362327098_Identifying_CRAAP_on_the_Internet_A_Source_Evaluation_Intervention/links/62fea0dfceb9764f7206d5a7/Identifying-CRAAP-on-the-Internet-A-Source-Evaluation-Intervention.pdf</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research provides a practical intervention for teaching the CRAAP method, offering a strong scholarly resource for implementing the CRAAP activity.</w:t>
      </w:r>
    </w:p>
    <w:p w:rsidR="00000000" w:rsidDel="00000000" w:rsidP="00000000" w:rsidRDefault="00000000" w:rsidRPr="00000000" w14:paraId="0000003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8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Hwang, Y., Ryu, J. Y., &amp; Jeong, S.-H. (2021). Effects of disinformation using deepfake: The protective effect of media literacy education.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Cyberpsychology, Behavior, and Social Networking, 24</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188–193.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9">
        <w:r w:rsidDel="00000000" w:rsidR="00000000" w:rsidRPr="00000000">
          <w:rPr>
            <w:rFonts w:ascii="Times New Roman" w:cs="Times New Roman" w:eastAsia="Times New Roman" w:hAnsi="Times New Roman"/>
            <w:b w:val="0"/>
            <w:i w:val="0"/>
            <w:smallCaps w:val="0"/>
            <w:strike w:val="0"/>
            <w:color w:val="0563c1"/>
            <w:sz w:val="24"/>
            <w:szCs w:val="24"/>
            <w:u w:val="single"/>
            <w:shd w:fill="auto" w:val="clear"/>
            <w:vertAlign w:val="baseline"/>
            <w:rtl w:val="0"/>
          </w:rPr>
          <w:t xml:space="preserve">https://www.liebertpub.com/doi/10.1089/cyber.2020.0174</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article provides a research-backed perspective on the effectiveness of media literacy education in protecting against deepfake disinformation, supporting the activity on AI-generated content.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pStyle w:val="Heading3"/>
        <w:rPr/>
      </w:pPr>
      <w:r w:rsidDel="00000000" w:rsidR="00000000" w:rsidRPr="00000000">
        <w:rPr>
          <w:rtl w:val="0"/>
        </w:rPr>
        <w:t xml:space="preserve">Section 5: Social Media Literacy</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section focuses on the unique dynamics of social media. The readings provide context for how platforms, algorithms, and human psychology interact to spread misinformation.</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Polanco-Levicán, K., &amp; Salvo-Garrido, S. (2022). Understanding social media literacy: A systematic review of the concept and its competences. International Journal of Environmental Research and Public Health, 19(14), 8807. https://doi.org/10.3390/ijerph19148807</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systematic review provides a clear, research-backed definition of social media literacy and its key competencies, directly informing the content of this section.</w:t>
      </w:r>
    </w:p>
    <w:p w:rsidR="00000000" w:rsidDel="00000000" w:rsidP="00000000" w:rsidRDefault="00000000" w:rsidRPr="00000000" w14:paraId="0000003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Vraga, E. K., &amp; Bode, L. (2020). Defining misinformation and understanding its bounded nature: Using expertise and evidence for describing misinformation. Political Communication, 37(1), 136-144. https://doi.org/10.1080/10584609.2020.1716500</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key article for understanding how misinformation is categorized and spread, which is essential for the "Digital Breakout" activity.</w:t>
      </w:r>
    </w:p>
    <w:p w:rsidR="00000000" w:rsidDel="00000000" w:rsidP="00000000" w:rsidRDefault="00000000" w:rsidRPr="00000000" w14:paraId="000000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Cho, H., Cannon, J., Lopez, R., &amp; Li, W. (2024). Social media literacy: A conceptual framework. New media &amp; society, 26(2), 941-960. https://doi.org/10.1177/14614448211068530</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article provides a detailed conceptual framework for social media literacy, which is highly useful for contextualizing the module's approach.</w:t>
      </w:r>
    </w:p>
    <w:p w:rsidR="00000000" w:rsidDel="00000000" w:rsidP="00000000" w:rsidRDefault="00000000" w:rsidRPr="00000000" w14:paraId="000000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Pennycook, G., &amp; Rand, D. G. (2019). Fighting misinformation on social media using crowdsourced judgments of news source quality. Proceedings of the National Academy of Sciences, 116(25), 12514-12519. https://doi.org/10.1073/pnas.1806781116</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key study on how crowdsourcing can be used as a tool to fight misinformation on social media, offering a scientific perspective that informs strategies for identifying and combating fakes.</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pStyle w:val="Heading3"/>
        <w:rPr/>
      </w:pPr>
      <w:r w:rsidDel="00000000" w:rsidR="00000000" w:rsidRPr="00000000">
        <w:rPr>
          <w:rtl w:val="0"/>
        </w:rPr>
        <w:t xml:space="preserve">Section 6: Action Against Disinformation</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section is about translating knowledge into action. The readings focus on practical methodologies and the role of stakeholders in combating disinformation.</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Filak, V. F. (2024). Exploring mass communication: Connecting with the world of media (2nd ed.). SAGE Publications.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is the source for Vincent F. Filak’s methodology. The book provides the foundational principles for fact-checking and media literacy that are central to this activity.</w:t>
      </w:r>
    </w:p>
    <w:p w:rsidR="00000000" w:rsidDel="00000000" w:rsidP="00000000" w:rsidRDefault="00000000" w:rsidRPr="00000000" w14:paraId="0000004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Fowler-Watt, K., &amp; McDougall, J. (2019). Media literacy versus fake news: fact checking and verification in the era of fake news and post-truths. Journalism Education: The Journal of the Association for Journalism Education, 8(1), 59-68.</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https://eprints.bournemouth.ac.uk/32851/</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highly relevant article that explores the importance of fact-checking and verification, directly supporting the rationale for creating a verification checklist.</w:t>
      </w:r>
    </w:p>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Ku, K. Y., Fung, T. M., Au, A. C., Choy, A. Y., Kajimoto, M., &amp; Song, Y. (2025). Helping young students cope with the threat of fake news: efficacy of news literacy training for junior-secondary school students in Hong Kong.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Educational Studies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51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588-606.</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https://www.tandfonline.com/doi/full/10.1080/03055698.2023.2296345</w:t>
      </w:r>
    </w:p>
    <w:p w:rsidR="00000000" w:rsidDel="00000000" w:rsidP="00000000" w:rsidRDefault="00000000" w:rsidRPr="00000000" w14:paraId="0000004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Lewandowsky, S., Ecker, U. K. H., &amp; Cook, J. (2017). Beyond misinformation: Understanding and coping with the “post-truth” era. Journal of Applied Research in Memory and Cognition, 6(4), 353-369. https://doi.org/10.1016/j.jarmac.2017.07.008</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article discusses how people cope with misinformation and provides strategies for building resilience, which is directly applicable to creating a personal action plan.</w:t>
      </w:r>
    </w:p>
    <w:p w:rsidR="00000000" w:rsidDel="00000000" w:rsidP="00000000" w:rsidRDefault="00000000" w:rsidRPr="00000000" w14:paraId="0000004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Wright, R. R., Sandlin, J. A., &amp; Burdick, J. (2023). What is critical media literacy in an age of disinformation?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New Directions for Adult and Continuing Education, 2023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(178), 11–25.  https://onlinelibrary.wiley.com/doi/full/10.1002/ace.20485</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article provides a contemporary perspective on media literacy in the age of disinformation, offering guidance on what an integrated, lifelong practice should look like, which is the core goal of this section.</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pStyle w:val="Heading3"/>
        <w:rPr/>
      </w:pPr>
      <w:r w:rsidDel="00000000" w:rsidR="00000000" w:rsidRPr="00000000">
        <w:rPr>
          <w:rtl w:val="0"/>
        </w:rPr>
        <w:t xml:space="preserve">Section 7: Conclusion &amp; Resources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section is about long-term application and critical reflection on the future of information literacy. The readings encourage forward-thinking and a balanced perspective on technology.</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Brandtzaeg, P. B., &amp; Følstad, A. (2017). Trust and distrust in online fact-checking services.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Communications of the ACM, 60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65–71. https://dl.acm.org/doi/10.1145/3122803</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study on user trust in fact-checking tools, which is highly relevant to the "Tools vs Truth" discussion, as it explores the limits and nuances of relying on technology.</w:t>
      </w:r>
    </w:p>
    <w:p w:rsidR="00000000" w:rsidDel="00000000" w:rsidP="00000000" w:rsidRDefault="00000000" w:rsidRPr="00000000" w14:paraId="0000005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Grassini, S. (2023). Shaping the future of education: Exploring the potential and consequences of AI and ChatGPT in educational settings.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Education Sciences, 13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692.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https://doi.org/10.3390/educsci13070692</w:t>
      </w:r>
      <w:r w:rsidDel="00000000" w:rsidR="00000000" w:rsidRPr="00000000">
        <w:rPr>
          <w:rtl w:val="0"/>
        </w:rPr>
      </w:r>
    </w:p>
    <w:p w:rsidR="00000000" w:rsidDel="00000000" w:rsidP="00000000" w:rsidRDefault="00000000" w:rsidRPr="00000000" w14:paraId="00000057">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article is an excellent resource for the "Tools vs Truth" discussion, as it discusses the potential of AI in education while also raising concerns about its widespread use, including issues of accuracy, reliability, and plagiarism.</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720" w:right="0" w:hanging="57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Wright, R. R., Sandlin, J. A., &amp; Burdick, J. (2023). What is critical media literacy in an age of disinformation?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New Directions for Adult and Continuing Education, 2023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(178), 11–25. https://onlinelibrary.wiley.com/doi/full/10.1002/ace.20485</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hanging="57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720" w:right="0" w:hanging="57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This article provides a contemporary perspective on media literacy in the age of disinformation, offering guidance on what an integrated, lifelong practice should look like, which is the core goal of this section.</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hanging="57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sz w:val="27"/>
      <w:szCs w:val="27"/>
    </w:rPr>
  </w:style>
  <w:style w:type="paragraph" w:styleId="Heading4">
    <w:name w:val="heading 4"/>
    <w:basedOn w:val="Normal"/>
    <w:next w:val="Normal"/>
    <w:pPr>
      <w:spacing w:line="240" w:lineRule="auto"/>
    </w:pPr>
    <w:rPr>
      <w:rFonts w:ascii="Times New Roman" w:cs="Times New Roman" w:eastAsia="Times New Roman" w:hAnsi="Times New Roman"/>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unhideWhenUsed w:val="1"/>
    <w:rsid w:val="00416E52"/>
    <w:pPr>
      <w:spacing w:after="100" w:afterAutospacing="1" w:before="100" w:beforeAutospacing="1" w:line="240" w:lineRule="auto"/>
    </w:pPr>
    <w:rPr>
      <w:rFonts w:ascii="Times New Roman" w:cs="Times New Roman" w:eastAsia="Times New Roman" w:hAnsi="Times New Roman"/>
      <w:sz w:val="24"/>
      <w:szCs w:val="24"/>
      <w:lang w:eastAsia="en-GB"/>
    </w:rPr>
  </w:style>
  <w:style w:type="character" w:styleId="Heading3Char" w:customStyle="1">
    <w:name w:val="Heading 3 Char"/>
    <w:basedOn w:val="DefaultParagraphFont"/>
    <w:link w:val="Heading3"/>
    <w:uiPriority w:val="9"/>
    <w:rsid w:val="000C6057"/>
    <w:rPr>
      <w:rFonts w:ascii="Times New Roman" w:cs="Times New Roman" w:eastAsia="Times New Roman" w:hAnsi="Times New Roman"/>
      <w:b w:val="1"/>
      <w:bCs w:val="1"/>
      <w:sz w:val="27"/>
      <w:szCs w:val="27"/>
      <w:lang w:eastAsia="en-GB"/>
    </w:rPr>
  </w:style>
  <w:style w:type="character" w:styleId="Heading4Char" w:customStyle="1">
    <w:name w:val="Heading 4 Char"/>
    <w:basedOn w:val="DefaultParagraphFont"/>
    <w:link w:val="Heading4"/>
    <w:uiPriority w:val="9"/>
    <w:rsid w:val="000C6057"/>
    <w:rPr>
      <w:rFonts w:ascii="Times New Roman" w:cs="Times New Roman" w:eastAsia="Times New Roman" w:hAnsi="Times New Roman"/>
      <w:b w:val="1"/>
      <w:bCs w:val="1"/>
      <w:sz w:val="24"/>
      <w:szCs w:val="24"/>
      <w:lang w:eastAsia="en-GB"/>
    </w:rPr>
  </w:style>
  <w:style w:type="character" w:styleId="Strong">
    <w:name w:val="Strong"/>
    <w:basedOn w:val="DefaultParagraphFont"/>
    <w:uiPriority w:val="22"/>
    <w:qFormat w:val="1"/>
    <w:rsid w:val="000C6057"/>
    <w:rPr>
      <w:b w:val="1"/>
      <w:bCs w:val="1"/>
    </w:rPr>
  </w:style>
  <w:style w:type="character" w:styleId="Hyperlink">
    <w:name w:val="Hyperlink"/>
    <w:basedOn w:val="DefaultParagraphFont"/>
    <w:uiPriority w:val="99"/>
    <w:unhideWhenUsed w:val="1"/>
    <w:rsid w:val="003038F9"/>
    <w:rPr>
      <w:color w:val="0563c1" w:themeColor="hyperlink"/>
      <w:u w:val="single"/>
    </w:rPr>
  </w:style>
  <w:style w:type="character" w:styleId="Heading1Char" w:customStyle="1">
    <w:name w:val="Heading 1 Char"/>
    <w:basedOn w:val="DefaultParagraphFont"/>
    <w:link w:val="Heading1"/>
    <w:uiPriority w:val="9"/>
    <w:rsid w:val="003038F9"/>
    <w:rPr>
      <w:rFonts w:asciiTheme="majorHAnsi" w:cstheme="majorBidi" w:eastAsiaTheme="majorEastAsia" w:hAnsiTheme="majorHAnsi"/>
      <w:color w:val="2e74b5" w:themeColor="accent1" w:themeShade="0000BF"/>
      <w:sz w:val="32"/>
      <w:szCs w:val="32"/>
    </w:rPr>
  </w:style>
  <w:style w:type="character" w:styleId="Emphasis">
    <w:name w:val="Emphasis"/>
    <w:basedOn w:val="DefaultParagraphFont"/>
    <w:uiPriority w:val="20"/>
    <w:qFormat w:val="1"/>
    <w:rsid w:val="00584CF9"/>
    <w:rPr>
      <w:i w:val="1"/>
      <w:iCs w:val="1"/>
    </w:rPr>
  </w:style>
  <w:style w:type="paragraph" w:styleId="ListParagraph">
    <w:name w:val="List Paragraph"/>
    <w:basedOn w:val="Normal"/>
    <w:uiPriority w:val="34"/>
    <w:qFormat w:val="1"/>
    <w:rsid w:val="00E84FB8"/>
    <w:pPr>
      <w:ind w:left="720"/>
      <w:contextualSpacing w:val="1"/>
    </w:pPr>
  </w:style>
  <w:style w:type="character" w:styleId="citation-62" w:customStyle="1">
    <w:name w:val="citation-62"/>
    <w:basedOn w:val="DefaultParagraphFont"/>
    <w:rsid w:val="007115D7"/>
  </w:style>
  <w:style w:type="character" w:styleId="citation-61" w:customStyle="1">
    <w:name w:val="citation-61"/>
    <w:basedOn w:val="DefaultParagraphFont"/>
    <w:rsid w:val="007115D7"/>
  </w:style>
  <w:style w:type="character" w:styleId="citation-59" w:customStyle="1">
    <w:name w:val="citation-59"/>
    <w:basedOn w:val="DefaultParagraphFont"/>
    <w:rsid w:val="00292511"/>
  </w:style>
  <w:style w:type="character" w:styleId="citation-50" w:customStyle="1">
    <w:name w:val="citation-50"/>
    <w:basedOn w:val="DefaultParagraphFont"/>
    <w:rsid w:val="00292511"/>
  </w:style>
  <w:style w:type="character" w:styleId="citation-42" w:customStyle="1">
    <w:name w:val="citation-42"/>
    <w:basedOn w:val="DefaultParagraphFont"/>
    <w:rsid w:val="00F0005C"/>
  </w:style>
  <w:style w:type="character" w:styleId="citation-40" w:customStyle="1">
    <w:name w:val="citation-40"/>
    <w:basedOn w:val="DefaultParagraphFont"/>
    <w:rsid w:val="00F0005C"/>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ebertpub.com/doi/10.1089/cyber.2020.0174"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doi.org/10.7771/1481-4374.224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4aCKLODyMCbJS+yhO1TZCmbjmA==">CgMxLjAyDmguaHhneGJ4eThxM3VvOAByITFHblpIMElGREtlNkhfOTUwdWRCSkpHRTVRVU4zNFdZZQ==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2025-07-30T10:11:00Z</dcterms:created>
  <dc:creator>Author</dc:creator>
</cp:coreProperties>
</file>