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2">
      <w:pPr>
        <w:spacing w:after="160" w:line="259" w:lineRule="auto"/>
        <w:jc w:val="center"/>
        <w:rPr>
          <w:rFonts w:ascii="Helvetica Neue" w:cs="Helvetica Neue" w:eastAsia="Helvetica Neue" w:hAnsi="Helvetica Neue"/>
          <w:color w:val="003c82"/>
          <w:sz w:val="32"/>
          <w:szCs w:val="32"/>
        </w:rPr>
      </w:pPr>
      <w:r w:rsidDel="00000000" w:rsidR="00000000" w:rsidRPr="00000000">
        <w:rPr>
          <w:rFonts w:ascii="Helvetica Neue" w:cs="Helvetica Neue" w:eastAsia="Helvetica Neue" w:hAnsi="Helvetica Neue"/>
          <w:color w:val="003c82"/>
          <w:sz w:val="32"/>
          <w:szCs w:val="32"/>
        </w:rPr>
        <w:drawing>
          <wp:inline distB="0" distT="0" distL="0" distR="0">
            <wp:extent cx="3048000" cy="1216000"/>
            <wp:effectExtent b="0" l="0" r="0" t="0"/>
            <wp:docPr descr="A blue and white logo&#10;&#10;Description automatically generated" id="2" name="image1.jpg"/>
            <a:graphic>
              <a:graphicData uri="http://schemas.openxmlformats.org/drawingml/2006/picture">
                <pic:pic>
                  <pic:nvPicPr>
                    <pic:cNvPr descr="A blue and white logo&#10;&#10;Description automatically generated" id="0" name="image1.jpg"/>
                    <pic:cNvPicPr preferRelativeResize="0"/>
                  </pic:nvPicPr>
                  <pic:blipFill>
                    <a:blip r:embed="rId6"/>
                    <a:srcRect b="0" l="0" r="0" t="0"/>
                    <a:stretch>
                      <a:fillRect/>
                    </a:stretch>
                  </pic:blipFill>
                  <pic:spPr>
                    <a:xfrm>
                      <a:off x="0" y="0"/>
                      <a:ext cx="3048000" cy="1216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160" w:line="259" w:lineRule="auto"/>
        <w:jc w:val="center"/>
        <w:rPr>
          <w:rFonts w:ascii="Helvetica Neue" w:cs="Helvetica Neue" w:eastAsia="Helvetica Neue" w:hAnsi="Helvetica Neue"/>
        </w:rPr>
      </w:pPr>
      <w:r w:rsidDel="00000000" w:rsidR="00000000" w:rsidRPr="00000000">
        <w:rPr>
          <w:rFonts w:ascii="Helvetica Neue" w:cs="Helvetica Neue" w:eastAsia="Helvetica Neue" w:hAnsi="Helvetica Neue"/>
          <w:color w:val="003c82"/>
          <w:sz w:val="32"/>
          <w:szCs w:val="32"/>
          <w:rtl w:val="0"/>
        </w:rPr>
        <w:t xml:space="preserve">DRONE</w:t>
      </w:r>
      <w:r w:rsidDel="00000000" w:rsidR="00000000" w:rsidRPr="00000000">
        <w:rPr>
          <w:rtl w:val="0"/>
        </w:rPr>
      </w:r>
    </w:p>
    <w:p w:rsidR="00000000" w:rsidDel="00000000" w:rsidP="00000000" w:rsidRDefault="00000000" w:rsidRPr="00000000" w14:paraId="00000004">
      <w:pPr>
        <w:spacing w:after="240" w:before="240" w:line="259" w:lineRule="auto"/>
        <w:jc w:val="cente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Formazione di insegnanti e dirigenti scolastici per promuovere l'alfabetizzazione digitale e combattere la diffusione di disinformazione tra i gruppi vulnerabili di adolescenti</w:t>
      </w:r>
    </w:p>
    <w:p w:rsidR="00000000" w:rsidDel="00000000" w:rsidP="00000000" w:rsidRDefault="00000000" w:rsidRPr="00000000" w14:paraId="00000005">
      <w:pPr>
        <w:spacing w:after="120" w:before="600" w:line="259" w:lineRule="auto"/>
        <w:jc w:val="cente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6">
      <w:pPr>
        <w:spacing w:after="160" w:line="259" w:lineRule="auto"/>
        <w:rPr/>
      </w:pPr>
      <w:r w:rsidDel="00000000" w:rsidR="00000000" w:rsidRPr="00000000">
        <w:br w:type="page"/>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1287780</wp:posOffset>
            </wp:positionH>
            <wp:positionV relativeFrom="paragraph">
              <wp:posOffset>5482590</wp:posOffset>
            </wp:positionV>
            <wp:extent cx="3208655" cy="711200"/>
            <wp:effectExtent b="0" l="0" r="0" t="0"/>
            <wp:wrapSquare wrapText="bothSides" distB="0" distT="0" distL="114300" distR="114300"/>
            <wp:docPr descr="Blue text on a black background&#10;&#10;Description automatically generated" id="1" name="image2.png"/>
            <a:graphic>
              <a:graphicData uri="http://schemas.openxmlformats.org/drawingml/2006/picture">
                <pic:pic>
                  <pic:nvPicPr>
                    <pic:cNvPr descr="Blue text on a black background&#10;&#10;Description automatically generated" id="0" name="image2.png"/>
                    <pic:cNvPicPr preferRelativeResize="0"/>
                  </pic:nvPicPr>
                  <pic:blipFill>
                    <a:blip r:embed="rId7"/>
                    <a:srcRect b="0" l="0" r="0" t="0"/>
                    <a:stretch>
                      <a:fillRect/>
                    </a:stretch>
                  </pic:blipFill>
                  <pic:spPr>
                    <a:xfrm>
                      <a:off x="0" y="0"/>
                      <a:ext cx="3208655" cy="711200"/>
                    </a:xfrm>
                    <a:prstGeom prst="rect"/>
                    <a:ln/>
                  </pic:spPr>
                </pic:pic>
              </a:graphicData>
            </a:graphic>
          </wp:anchor>
        </w:drawing>
      </w:r>
    </w:p>
    <w:p w:rsidR="00000000" w:rsidDel="00000000" w:rsidP="00000000" w:rsidRDefault="00000000" w:rsidRPr="00000000" w14:paraId="00000007">
      <w:pPr>
        <w:spacing w:after="240" w:before="240" w:lineRule="auto"/>
        <w:rPr>
          <w:b w:val="1"/>
          <w:bCs w:val="1"/>
        </w:rPr>
      </w:pPr>
      <w:r w:rsidDel="00000000" w:rsidR="00000000" w:rsidRPr="00000000">
        <w:rPr>
          <w:b w:val="1"/>
          <w:bCs w:val="1"/>
          <w:rtl w:val="0"/>
        </w:rPr>
        <w:t xml:space="preserve">Sezione 2: Introduzione all'alfabetizzazione informativa</w:t>
      </w:r>
    </w:p>
    <w:p w:rsidR="00000000" w:rsidDel="00000000" w:rsidP="00000000" w:rsidRDefault="00000000" w:rsidRPr="00000000" w14:paraId="00000008">
      <w:pPr>
        <w:spacing w:after="240" w:before="240" w:lineRule="auto"/>
        <w:rPr>
          <w:i w:val="1"/>
          <w:iCs w:val="1"/>
        </w:rPr>
      </w:pPr>
      <w:r w:rsidDel="00000000" w:rsidR="00000000" w:rsidRPr="00000000">
        <w:rPr>
          <w:i w:val="1"/>
          <w:iCs w:val="1"/>
          <w:rtl w:val="0"/>
        </w:rPr>
        <w:t xml:space="preserve">Questa sezione introduce concetti fondamentali come i tipi di disinformazione e i quadri di riferimento chiave. Le letture forniscono le basi teoriche e pratiche per comprendere l'alfabetizzazione informativa nell'era digitale.</w:t>
      </w:r>
    </w:p>
    <w:p w:rsidR="00000000" w:rsidDel="00000000" w:rsidP="00000000" w:rsidRDefault="00000000" w:rsidRPr="00000000" w14:paraId="00000009">
      <w:pPr>
        <w:numPr>
          <w:ilvl w:val="0"/>
          <w:numId w:val="1"/>
        </w:numPr>
        <w:spacing w:after="240" w:before="240" w:lineRule="auto"/>
        <w:ind w:left="720" w:hanging="360"/>
      </w:pPr>
      <w:r w:rsidDel="00000000" w:rsidR="00000000" w:rsidRPr="00000000">
        <w:rPr>
          <w:rtl w:val="0"/>
        </w:rPr>
        <w:t xml:space="preserve">Alcolea-Díaz, G., Reig, R., &amp; Mancinas-Chávez, R. (2020). UNESCO's Media and Information Literacy Curriculum for Teachers from the Perspective of Structural Considerations of Information. Comunicar: Media Education Research Journal, 28(62), 99-109. https://eric.ed.gov/?id=EJ1239122</w:t>
      </w:r>
    </w:p>
    <w:p w:rsidR="00000000" w:rsidDel="00000000" w:rsidP="00000000" w:rsidRDefault="00000000" w:rsidRPr="00000000" w14:paraId="0000000A">
      <w:pPr>
        <w:spacing w:after="240" w:before="240" w:lineRule="auto"/>
        <w:rPr>
          <w:i w:val="1"/>
          <w:iCs w:val="1"/>
        </w:rPr>
      </w:pPr>
      <w:r w:rsidDel="00000000" w:rsidR="00000000" w:rsidRPr="00000000">
        <w:rPr>
          <w:i w:val="1"/>
          <w:iCs w:val="1"/>
          <w:rtl w:val="0"/>
        </w:rPr>
        <w:t xml:space="preserve">Questo articolo fornisce un'analisi accademica del quadro dell'UNESCO, offrendo preziose informazioni agli insegnanti e ai dirigenti scolastici su come applicarne i principi.</w:t>
      </w:r>
    </w:p>
    <w:p w:rsidR="00000000" w:rsidDel="00000000" w:rsidP="00000000" w:rsidRDefault="00000000" w:rsidRPr="00000000" w14:paraId="0000000B">
      <w:pPr>
        <w:numPr>
          <w:ilvl w:val="0"/>
          <w:numId w:val="22"/>
        </w:numPr>
        <w:spacing w:after="240" w:before="240" w:lineRule="auto"/>
        <w:ind w:left="720" w:hanging="360"/>
      </w:pPr>
      <w:r w:rsidDel="00000000" w:rsidR="00000000" w:rsidRPr="00000000">
        <w:rPr>
          <w:rtl w:val="0"/>
        </w:rPr>
        <w:t xml:space="preserve">Aïmeur, E., Amri, S., &amp; Brassard, G. (2019). Fake news, disinformation and misinformation in social media: A review. Cybersecurity, 2(1), 1-14. https://doi.org/10.1186/s42400-019-0027-4</w:t>
      </w:r>
    </w:p>
    <w:p w:rsidR="00000000" w:rsidDel="00000000" w:rsidP="00000000" w:rsidRDefault="00000000" w:rsidRPr="00000000" w14:paraId="0000000C">
      <w:pPr>
        <w:spacing w:after="240" w:before="240" w:lineRule="auto"/>
        <w:rPr>
          <w:i w:val="1"/>
          <w:iCs w:val="1"/>
        </w:rPr>
      </w:pPr>
      <w:r w:rsidDel="00000000" w:rsidR="00000000" w:rsidRPr="00000000">
        <w:rPr>
          <w:i w:val="1"/>
          <w:iCs w:val="1"/>
          <w:rtl w:val="0"/>
        </w:rPr>
        <w:t xml:space="preserve">Questa recensione completa definisce e differenzia chiaramente le fake news, la disinformazione e la cattiva informazione, fornendo una solida base teorica per l'attività “Truth or Trash?” (Verità o spazzatura?).</w:t>
      </w:r>
    </w:p>
    <w:p w:rsidR="00000000" w:rsidDel="00000000" w:rsidP="00000000" w:rsidRDefault="00000000" w:rsidRPr="00000000" w14:paraId="0000000D">
      <w:pPr>
        <w:numPr>
          <w:ilvl w:val="0"/>
          <w:numId w:val="17"/>
        </w:numPr>
        <w:spacing w:after="240" w:before="240" w:lineRule="auto"/>
        <w:ind w:left="720" w:hanging="360"/>
      </w:pPr>
      <w:r w:rsidDel="00000000" w:rsidR="00000000" w:rsidRPr="00000000">
        <w:rPr>
          <w:rtl w:val="0"/>
        </w:rPr>
        <w:t xml:space="preserve">Goodsett, M. (2017). Critical thinking and the ACRL framework: Fake news and fallacies. Academic Library Association of Ohio. https://engagedscholarship.csuohio.edu/msl_facpub/144/</w:t>
      </w:r>
    </w:p>
    <w:p w:rsidR="00000000" w:rsidDel="00000000" w:rsidP="00000000" w:rsidRDefault="00000000" w:rsidRPr="00000000" w14:paraId="0000000E">
      <w:pPr>
        <w:spacing w:after="240" w:before="240" w:lineRule="auto"/>
        <w:rPr>
          <w:i w:val="1"/>
          <w:iCs w:val="1"/>
        </w:rPr>
      </w:pPr>
      <w:r w:rsidDel="00000000" w:rsidR="00000000" w:rsidRPr="00000000">
        <w:rPr>
          <w:i w:val="1"/>
          <w:iCs w:val="1"/>
          <w:rtl w:val="0"/>
        </w:rPr>
        <w:t xml:space="preserve">Questa presentazione offre una guida pratica per collegare i principi del quadro ACRL alle capacità di pensiero critico, sostenendo direttamente l'approccio pedagogico del modulo.</w:t>
      </w:r>
    </w:p>
    <w:p w:rsidR="00000000" w:rsidDel="00000000" w:rsidP="00000000" w:rsidRDefault="00000000" w:rsidRPr="00000000" w14:paraId="0000000F">
      <w:pPr>
        <w:numPr>
          <w:ilvl w:val="0"/>
          <w:numId w:val="5"/>
        </w:numPr>
        <w:spacing w:after="240" w:before="240" w:lineRule="auto"/>
        <w:ind w:left="720" w:hanging="360"/>
      </w:pPr>
      <w:r w:rsidDel="00000000" w:rsidR="00000000" w:rsidRPr="00000000">
        <w:rPr>
          <w:rtl w:val="0"/>
        </w:rPr>
        <w:t xml:space="preserve">Association of College and Research Libraries. (2016). Framework for information literacy for higher education. American Library Association. https://www.ala.org/acrl/standards/ilframework</w:t>
      </w:r>
    </w:p>
    <w:p w:rsidR="00000000" w:rsidDel="00000000" w:rsidP="00000000" w:rsidRDefault="00000000" w:rsidRPr="00000000" w14:paraId="00000010">
      <w:pPr>
        <w:spacing w:after="240" w:before="240" w:lineRule="auto"/>
        <w:rPr>
          <w:i w:val="1"/>
          <w:iCs w:val="1"/>
        </w:rPr>
      </w:pPr>
      <w:r w:rsidDel="00000000" w:rsidR="00000000" w:rsidRPr="00000000">
        <w:rPr>
          <w:i w:val="1"/>
          <w:iCs w:val="1"/>
          <w:rtl w:val="0"/>
        </w:rPr>
        <w:t xml:space="preserve">Questa è la fonte ufficiale del quadro di riferimento ACRL, che lo rende una lettura fondamentale e obbligatoria per comprendere i principi fondamentali del modulo.</w:t>
      </w:r>
    </w:p>
    <w:p w:rsidR="00000000" w:rsidDel="00000000" w:rsidP="00000000" w:rsidRDefault="00000000" w:rsidRPr="00000000" w14:paraId="00000011">
      <w:pPr>
        <w:numPr>
          <w:ilvl w:val="0"/>
          <w:numId w:val="19"/>
        </w:numPr>
        <w:spacing w:after="240" w:before="240" w:lineRule="auto"/>
        <w:ind w:left="720" w:hanging="360"/>
      </w:pPr>
      <w:r w:rsidDel="00000000" w:rsidR="00000000" w:rsidRPr="00000000">
        <w:rPr>
          <w:rtl w:val="0"/>
        </w:rPr>
        <w:t xml:space="preserve">Pérez-Escolar, M., Lilleker, D., &amp; Tapia-Frade, A. (2023). A systematic literature review of the phenomenon of disinformation and misinformation. Media and Communication, 11(2), 76-87. https://doi.org/10.17645/mac.v11i2.6453</w:t>
      </w:r>
    </w:p>
    <w:p w:rsidR="00000000" w:rsidDel="00000000" w:rsidP="00000000" w:rsidRDefault="00000000" w:rsidRPr="00000000" w14:paraId="00000012">
      <w:pPr>
        <w:spacing w:after="240" w:before="240" w:lineRule="auto"/>
        <w:rPr>
          <w:i w:val="1"/>
          <w:iCs w:val="1"/>
        </w:rPr>
      </w:pPr>
      <w:r w:rsidDel="00000000" w:rsidR="00000000" w:rsidRPr="00000000">
        <w:rPr>
          <w:i w:val="1"/>
          <w:iCs w:val="1"/>
          <w:rtl w:val="0"/>
        </w:rPr>
        <w:t xml:space="preserve">Questa revisione sistematica fornisce un'ampia panoramica del panorama della ricerca sulla disinformazione, offrendo ai partecipanti una solida comprensione dei concetti introdotti in questa sezione.</w:t>
      </w:r>
    </w:p>
    <w:p w:rsidR="00000000" w:rsidDel="00000000" w:rsidP="00000000" w:rsidRDefault="00000000" w:rsidRPr="00000000" w14:paraId="00000013">
      <w:pPr>
        <w:numPr>
          <w:ilvl w:val="0"/>
          <w:numId w:val="23"/>
        </w:numPr>
        <w:spacing w:after="240" w:before="240" w:lineRule="auto"/>
        <w:ind w:left="720" w:hanging="360"/>
      </w:pPr>
      <w:r w:rsidDel="00000000" w:rsidR="00000000" w:rsidRPr="00000000">
        <w:rPr>
          <w:rtl w:val="0"/>
        </w:rPr>
        <w:t xml:space="preserve">Cho, H., Cannon, J., Lopez, R., &amp; Li, W. (2022). Social media literacy: A conceptual framework. </w:t>
      </w:r>
      <w:r w:rsidDel="00000000" w:rsidR="00000000" w:rsidRPr="00000000">
        <w:rPr>
          <w:i w:val="1"/>
          <w:iCs w:val="1"/>
          <w:rtl w:val="0"/>
        </w:rPr>
        <w:t xml:space="preserve">New Media &amp; Society, 24</w:t>
      </w:r>
      <w:r w:rsidDel="00000000" w:rsidR="00000000" w:rsidRPr="00000000">
        <w:rPr>
          <w:rtl w:val="0"/>
        </w:rPr>
        <w:t xml:space="preserve">(2), 941–960.</w:t>
      </w:r>
    </w:p>
    <w:p w:rsidR="00000000" w:rsidDel="00000000" w:rsidP="00000000" w:rsidRDefault="00000000" w:rsidRPr="00000000" w14:paraId="00000014">
      <w:pPr>
        <w:spacing w:after="240" w:before="240" w:lineRule="auto"/>
        <w:rPr>
          <w:i w:val="1"/>
          <w:iCs w:val="1"/>
        </w:rPr>
      </w:pPr>
      <w:r w:rsidDel="00000000" w:rsidR="00000000" w:rsidRPr="00000000">
        <w:rPr>
          <w:i w:val="1"/>
          <w:iCs w:val="1"/>
          <w:rtl w:val="0"/>
        </w:rPr>
        <w:t xml:space="preserve">Questo articolo introduce un quadro di riferimento per l'alfabetizzazione ai social media, che costituisce un'ottima risorsa per contestualizzare entrambe le attività. Discute come i concetti di alfabetizzazione mediatica vengono applicati ai social media e come gli utenti costruiscono la propria realtà.</w:t>
      </w:r>
    </w:p>
    <w:p w:rsidR="00000000" w:rsidDel="00000000" w:rsidP="00000000" w:rsidRDefault="00000000" w:rsidRPr="00000000" w14:paraId="00000015">
      <w:pPr>
        <w:numPr>
          <w:ilvl w:val="0"/>
          <w:numId w:val="20"/>
        </w:numPr>
        <w:spacing w:after="240" w:before="240" w:lineRule="auto"/>
        <w:ind w:left="720" w:hanging="360"/>
      </w:pPr>
      <w:r w:rsidDel="00000000" w:rsidR="00000000" w:rsidRPr="00000000">
        <w:rPr>
          <w:rtl w:val="0"/>
        </w:rPr>
        <w:t xml:space="preserve">Vanwynsberghe, H., &amp; Verdegem, P. (2013). Integrating social media in education. </w:t>
      </w:r>
      <w:r w:rsidDel="00000000" w:rsidR="00000000" w:rsidRPr="00000000">
        <w:rPr>
          <w:i w:val="1"/>
          <w:iCs w:val="1"/>
          <w:rtl w:val="0"/>
        </w:rPr>
        <w:t xml:space="preserve">Computers and Education, 15</w:t>
      </w:r>
      <w:r w:rsidDel="00000000" w:rsidR="00000000" w:rsidRPr="00000000">
        <w:rPr>
          <w:rtl w:val="0"/>
        </w:rPr>
        <w:t xml:space="preserve">, 1–10. </w:t>
      </w:r>
      <w:hyperlink r:id="rId8">
        <w:r w:rsidDel="00000000" w:rsidR="00000000" w:rsidRPr="00000000">
          <w:rPr>
            <w:color w:val="1155cc"/>
            <w:u w:val="single"/>
            <w:rtl w:val="0"/>
          </w:rPr>
          <w:t xml:space="preserve">https://doi.org/10.7771/1481-4374.2247</w:t>
        </w:r>
      </w:hyperlink>
      <w:r w:rsidDel="00000000" w:rsidR="00000000" w:rsidRPr="00000000">
        <w:rPr>
          <w:rtl w:val="0"/>
        </w:rPr>
      </w:r>
    </w:p>
    <w:p w:rsidR="00000000" w:rsidDel="00000000" w:rsidP="00000000" w:rsidRDefault="00000000" w:rsidRPr="00000000" w14:paraId="00000016">
      <w:pPr>
        <w:spacing w:after="240" w:before="240" w:lineRule="auto"/>
        <w:rPr>
          <w:i w:val="1"/>
          <w:iCs w:val="1"/>
        </w:rPr>
      </w:pPr>
      <w:r w:rsidDel="00000000" w:rsidR="00000000" w:rsidRPr="00000000">
        <w:rPr>
          <w:i w:val="1"/>
          <w:iCs w:val="1"/>
          <w:rtl w:val="0"/>
        </w:rPr>
        <w:t xml:space="preserve">Questo articolo discute come l'alfabetizzazione ai social media sia una forma aggiornata di alfabetizzazione mediatica. Fornisce un quadro di riferimento per integrare l'alfabetizzazione ai social media nell'istruzione, a supporto dell'attività “Mappa il tuo flusso di informazioni”.</w:t>
      </w:r>
    </w:p>
    <w:p w:rsidR="00000000" w:rsidDel="00000000" w:rsidP="00000000" w:rsidRDefault="00000000" w:rsidRPr="00000000" w14:paraId="00000017">
      <w:pPr>
        <w:spacing w:after="240" w:before="240" w:lineRule="auto"/>
        <w:rPr>
          <w:b w:val="1"/>
          <w:bCs w:val="1"/>
        </w:rPr>
      </w:pPr>
      <w:r w:rsidDel="00000000" w:rsidR="00000000" w:rsidRPr="00000000">
        <w:rPr>
          <w:b w:val="1"/>
          <w:bCs w:val="1"/>
          <w:rtl w:val="0"/>
        </w:rPr>
        <w:t xml:space="preserve">Sezione 3: Strategie di ricerca intelligenti</w:t>
      </w:r>
    </w:p>
    <w:p w:rsidR="00000000" w:rsidDel="00000000" w:rsidP="00000000" w:rsidRDefault="00000000" w:rsidRPr="00000000" w14:paraId="00000018">
      <w:pPr>
        <w:spacing w:after="240" w:before="240" w:lineRule="auto"/>
        <w:rPr>
          <w:i w:val="1"/>
          <w:iCs w:val="1"/>
        </w:rPr>
      </w:pPr>
      <w:r w:rsidDel="00000000" w:rsidR="00000000" w:rsidRPr="00000000">
        <w:rPr>
          <w:i w:val="1"/>
          <w:iCs w:val="1"/>
          <w:rtl w:val="0"/>
        </w:rPr>
        <w:t xml:space="preserve">Questa sezione si concentra sulle competenze pratiche di ricerca e sulla consapevolezza algoritmica. Le letture forniscono una base tecnica e pedagogica per una ricerca digitale efficace.</w:t>
      </w:r>
    </w:p>
    <w:p w:rsidR="00000000" w:rsidDel="00000000" w:rsidP="00000000" w:rsidRDefault="00000000" w:rsidRPr="00000000" w14:paraId="00000019">
      <w:pPr>
        <w:numPr>
          <w:ilvl w:val="0"/>
          <w:numId w:val="24"/>
        </w:numPr>
        <w:spacing w:after="240" w:before="240" w:lineRule="auto"/>
        <w:ind w:left="720" w:hanging="360"/>
      </w:pPr>
      <w:r w:rsidDel="00000000" w:rsidR="00000000" w:rsidRPr="00000000">
        <w:rPr>
          <w:rtl w:val="0"/>
        </w:rPr>
        <w:t xml:space="preserve">Grassini, S. (2023). Shaping the future of education: Exploring the potential and consequences of AI and ChatGPT in educational settings. Education Sciences, 13(7), 692. https://doi.org/10.3390/educsci13070692</w:t>
      </w:r>
    </w:p>
    <w:p w:rsidR="00000000" w:rsidDel="00000000" w:rsidP="00000000" w:rsidRDefault="00000000" w:rsidRPr="00000000" w14:paraId="0000001A">
      <w:pPr>
        <w:spacing w:after="240" w:before="240" w:lineRule="auto"/>
        <w:rPr>
          <w:i w:val="1"/>
          <w:iCs w:val="1"/>
        </w:rPr>
      </w:pPr>
      <w:r w:rsidDel="00000000" w:rsidR="00000000" w:rsidRPr="00000000">
        <w:rPr>
          <w:i w:val="1"/>
          <w:iCs w:val="1"/>
          <w:rtl w:val="0"/>
        </w:rPr>
        <w:t xml:space="preserve">Questo articolo è molto rilevante per l'attività sull'impatto dell'IA, poiché discute come gli strumenti di IA influenzano l'apprendimento e la necessità di nuove competenze critiche.</w:t>
      </w:r>
    </w:p>
    <w:p w:rsidR="00000000" w:rsidDel="00000000" w:rsidP="00000000" w:rsidRDefault="00000000" w:rsidRPr="00000000" w14:paraId="0000001B">
      <w:pPr>
        <w:numPr>
          <w:ilvl w:val="0"/>
          <w:numId w:val="6"/>
        </w:numPr>
        <w:spacing w:after="240" w:before="240" w:lineRule="auto"/>
        <w:ind w:left="720" w:hanging="360"/>
      </w:pPr>
      <w:r w:rsidDel="00000000" w:rsidR="00000000" w:rsidRPr="00000000">
        <w:rPr>
          <w:rtl w:val="0"/>
        </w:rPr>
        <w:t xml:space="preserve">Scells, H., Zuccon, G., Koopman, B., &amp; Clark, J. (2020). Automatic boolean query formulation for systematic review literature search. In Proceedings of the web conference 2020 (pp. 1071-1081). ACM. https://dl.acm.org/doi/abs/10.1145/3366423.3380185?casa_token=h-cFai39kLsAAAAA:mZMdzKyJey2R3VqGTNdS-dGia9XoSpm3FvlZvirp2-K35AicRtgjpkcbmyIbYlg4mbQ-s-F5RFkNPA</w:t>
      </w:r>
    </w:p>
    <w:p w:rsidR="00000000" w:rsidDel="00000000" w:rsidP="00000000" w:rsidRDefault="00000000" w:rsidRPr="00000000" w14:paraId="0000001C">
      <w:pPr>
        <w:spacing w:after="240" w:before="240" w:lineRule="auto"/>
        <w:rPr/>
      </w:pPr>
      <w:r w:rsidDel="00000000" w:rsidR="00000000" w:rsidRPr="00000000">
        <w:rPr>
          <w:i w:val="1"/>
          <w:iCs w:val="1"/>
          <w:rtl w:val="0"/>
        </w:rPr>
        <w:t xml:space="preserve">Un articolo tecnico ma molto pertinente per l'attività sugli operatori booleani, che fornisce una prospettiva supportata dalla ricerca sul perché queste ricerche strutturate sono efficaci</w:t>
      </w:r>
      <w:r w:rsidDel="00000000" w:rsidR="00000000" w:rsidRPr="00000000">
        <w:rPr>
          <w:rtl w:val="0"/>
        </w:rPr>
        <w:t xml:space="preserve">.</w:t>
      </w:r>
    </w:p>
    <w:p w:rsidR="00000000" w:rsidDel="00000000" w:rsidP="00000000" w:rsidRDefault="00000000" w:rsidRPr="00000000" w14:paraId="0000001D">
      <w:pPr>
        <w:numPr>
          <w:ilvl w:val="0"/>
          <w:numId w:val="10"/>
        </w:numPr>
        <w:spacing w:after="240" w:before="240" w:lineRule="auto"/>
        <w:ind w:left="720" w:hanging="360"/>
      </w:pPr>
      <w:r w:rsidDel="00000000" w:rsidR="00000000" w:rsidRPr="00000000">
        <w:rPr>
          <w:rtl w:val="0"/>
        </w:rPr>
        <w:t xml:space="preserve">Pawar, M., Dhotare, V., Urunkar, N., Andalgavkarkulkarni, Y., Shahane, D., &amp; Pawar, A. S. (2025). Comparative Impact of AI and Search Technologies on Outcome-Based Learning in Engineering Education. Journal of Engineering Education Transformations. https://journaleet.in/index.php/jeet/article/view/2128</w:t>
      </w:r>
    </w:p>
    <w:p w:rsidR="00000000" w:rsidDel="00000000" w:rsidP="00000000" w:rsidRDefault="00000000" w:rsidRPr="00000000" w14:paraId="0000001E">
      <w:pPr>
        <w:spacing w:after="240" w:before="240" w:lineRule="auto"/>
        <w:rPr>
          <w:i w:val="1"/>
          <w:iCs w:val="1"/>
        </w:rPr>
      </w:pPr>
      <w:r w:rsidDel="00000000" w:rsidR="00000000" w:rsidRPr="00000000">
        <w:rPr>
          <w:i w:val="1"/>
          <w:iCs w:val="1"/>
          <w:rtl w:val="0"/>
        </w:rPr>
        <w:t xml:space="preserve">Questa risorsa affronta direttamente l'impatto dell'IA sulle tecnologie di ricerca in un contesto educativo, supportando i temi centrali delle attività di questa sezione.</w:t>
      </w:r>
    </w:p>
    <w:p w:rsidR="00000000" w:rsidDel="00000000" w:rsidP="00000000" w:rsidRDefault="00000000" w:rsidRPr="00000000" w14:paraId="0000001F">
      <w:pPr>
        <w:numPr>
          <w:ilvl w:val="0"/>
          <w:numId w:val="21"/>
        </w:numPr>
        <w:spacing w:after="240" w:before="240" w:lineRule="auto"/>
        <w:ind w:left="720" w:hanging="360"/>
      </w:pPr>
      <w:r w:rsidDel="00000000" w:rsidR="00000000" w:rsidRPr="00000000">
        <w:rPr>
          <w:rtl w:val="0"/>
        </w:rPr>
        <w:t xml:space="preserve">Morel, T., Granikov, V., Kulshreshtha, A., Young, R., &amp; Fournier, J. P. (2025). Getting started with search filters in primary care literature reviews. Family Practice, 42(4), cmaf037. https://doi.org/10.1093/fampra/cmaf037</w:t>
      </w:r>
    </w:p>
    <w:p w:rsidR="00000000" w:rsidDel="00000000" w:rsidP="00000000" w:rsidRDefault="00000000" w:rsidRPr="00000000" w14:paraId="00000020">
      <w:pPr>
        <w:spacing w:after="240" w:before="240" w:lineRule="auto"/>
        <w:rPr>
          <w:i w:val="1"/>
          <w:iCs w:val="1"/>
        </w:rPr>
      </w:pPr>
      <w:r w:rsidDel="00000000" w:rsidR="00000000" w:rsidRPr="00000000">
        <w:rPr>
          <w:i w:val="1"/>
          <w:iCs w:val="1"/>
          <w:rtl w:val="0"/>
        </w:rPr>
        <w:t xml:space="preserve">Fornisce una guida pratica all'uso dei filtri di ricerca, che è una componente chiave dell'attività “Padroneggiare gli operatori booleani e i filtri avanzati” del modulo.</w:t>
      </w:r>
    </w:p>
    <w:p w:rsidR="00000000" w:rsidDel="00000000" w:rsidP="00000000" w:rsidRDefault="00000000" w:rsidRPr="00000000" w14:paraId="00000021">
      <w:pPr>
        <w:numPr>
          <w:ilvl w:val="0"/>
          <w:numId w:val="9"/>
        </w:numPr>
        <w:spacing w:after="240" w:before="240" w:lineRule="auto"/>
        <w:ind w:left="720" w:hanging="360"/>
      </w:pPr>
      <w:r w:rsidDel="00000000" w:rsidR="00000000" w:rsidRPr="00000000">
        <w:rPr>
          <w:rtl w:val="0"/>
        </w:rPr>
        <w:t xml:space="preserve">Iosifidis, P., &amp; Nicoli, N. (2020). Digital democracy, social media and disinformation. Routledge.</w:t>
      </w:r>
    </w:p>
    <w:p w:rsidR="00000000" w:rsidDel="00000000" w:rsidP="00000000" w:rsidRDefault="00000000" w:rsidRPr="00000000" w14:paraId="00000022">
      <w:pPr>
        <w:spacing w:after="240" w:before="240" w:lineRule="auto"/>
        <w:rPr>
          <w:i w:val="1"/>
          <w:iCs w:val="1"/>
        </w:rPr>
      </w:pPr>
      <w:r w:rsidDel="00000000" w:rsidR="00000000" w:rsidRPr="00000000">
        <w:rPr>
          <w:i w:val="1"/>
          <w:iCs w:val="1"/>
          <w:rtl w:val="0"/>
        </w:rPr>
        <w:t xml:space="preserve">Un libro su come gli algoritmi influenzano la visibilità delle informazioni fornisce un eccellente background per la discussione sull'impatto dell'IA sui risultati di ricerca.</w:t>
      </w:r>
    </w:p>
    <w:p w:rsidR="00000000" w:rsidDel="00000000" w:rsidP="00000000" w:rsidRDefault="00000000" w:rsidRPr="00000000" w14:paraId="00000023">
      <w:pPr>
        <w:spacing w:after="240" w:before="240" w:lineRule="auto"/>
        <w:rPr>
          <w:b w:val="1"/>
          <w:bCs w:val="1"/>
        </w:rPr>
      </w:pPr>
      <w:r w:rsidDel="00000000" w:rsidR="00000000" w:rsidRPr="00000000">
        <w:rPr>
          <w:b w:val="1"/>
          <w:bCs w:val="1"/>
          <w:rtl w:val="0"/>
        </w:rPr>
        <w:t xml:space="preserve">Sezione 4: Laboratorio di valutazione delle fonti</w:t>
      </w:r>
    </w:p>
    <w:p w:rsidR="00000000" w:rsidDel="00000000" w:rsidP="00000000" w:rsidRDefault="00000000" w:rsidRPr="00000000" w14:paraId="00000024">
      <w:pPr>
        <w:spacing w:after="240" w:before="240" w:lineRule="auto"/>
        <w:rPr>
          <w:i w:val="1"/>
          <w:iCs w:val="1"/>
        </w:rPr>
      </w:pPr>
      <w:r w:rsidDel="00000000" w:rsidR="00000000" w:rsidRPr="00000000">
        <w:rPr>
          <w:i w:val="1"/>
          <w:iCs w:val="1"/>
          <w:rtl w:val="0"/>
        </w:rPr>
        <w:t xml:space="preserve">Questa sezione riguarda i metodi di valutazione pratici. Le letture forniscono le basi teoriche e pratiche per questi strumenti e le nuove sfide poste dall'IA.</w:t>
      </w:r>
    </w:p>
    <w:p w:rsidR="00000000" w:rsidDel="00000000" w:rsidP="00000000" w:rsidRDefault="00000000" w:rsidRPr="00000000" w14:paraId="00000025">
      <w:pPr>
        <w:numPr>
          <w:ilvl w:val="0"/>
          <w:numId w:val="29"/>
        </w:numPr>
        <w:spacing w:after="240" w:before="240" w:lineRule="auto"/>
        <w:ind w:left="720" w:hanging="360"/>
      </w:pPr>
      <w:r w:rsidDel="00000000" w:rsidR="00000000" w:rsidRPr="00000000">
        <w:rPr>
          <w:rtl w:val="0"/>
        </w:rPr>
        <w:t xml:space="preserve">Espina, D. N. P., &amp; Spracklin, E. (2023). SIFT Notebook Assignment. WWU Library Faculty &amp; Staff Publications. https://cedar.wwu.edu/library_facpubs/73/</w:t>
      </w:r>
    </w:p>
    <w:p w:rsidR="00000000" w:rsidDel="00000000" w:rsidP="00000000" w:rsidRDefault="00000000" w:rsidRPr="00000000" w14:paraId="00000026">
      <w:pPr>
        <w:spacing w:after="240" w:before="240" w:lineRule="auto"/>
        <w:rPr>
          <w:i w:val="1"/>
          <w:iCs w:val="1"/>
        </w:rPr>
      </w:pPr>
      <w:r w:rsidDel="00000000" w:rsidR="00000000" w:rsidRPr="00000000">
        <w:rPr>
          <w:i w:val="1"/>
          <w:iCs w:val="1"/>
          <w:rtl w:val="0"/>
        </w:rPr>
        <w:t xml:space="preserve">Si tratta di una risorsa pratica e pedagogica che delinea un compito basato sul SIFT, rendendolo perfetto per insegnanti e leader che desiderano implementare il metodo nei propri contesti.</w:t>
      </w:r>
    </w:p>
    <w:p w:rsidR="00000000" w:rsidDel="00000000" w:rsidP="00000000" w:rsidRDefault="00000000" w:rsidRPr="00000000" w14:paraId="00000027">
      <w:pPr>
        <w:numPr>
          <w:ilvl w:val="0"/>
          <w:numId w:val="28"/>
        </w:numPr>
        <w:spacing w:after="240" w:before="240" w:lineRule="auto"/>
        <w:ind w:left="720" w:hanging="360"/>
      </w:pPr>
      <w:r w:rsidDel="00000000" w:rsidR="00000000" w:rsidRPr="00000000">
        <w:rPr>
          <w:rtl w:val="0"/>
        </w:rPr>
        <w:t xml:space="preserve">Liang, C. J. M., Karlsson, B. F., Lane, N. D., Zhao, F., Zhang, J., Pan, Z., ... &amp; Yu, Y. (2015). SIFT: building an internet of safe things. In Proceedings of the 14th International Conference on Information Processing in Sensor Networks (pp. 298-309). ACM. https://discovery.ucl.ac.uk/id/eprint/1503682/</w:t>
      </w:r>
    </w:p>
    <w:p w:rsidR="00000000" w:rsidDel="00000000" w:rsidP="00000000" w:rsidRDefault="00000000" w:rsidRPr="00000000" w14:paraId="00000028">
      <w:pPr>
        <w:spacing w:after="240" w:before="240" w:lineRule="auto"/>
        <w:rPr>
          <w:i w:val="1"/>
          <w:iCs w:val="1"/>
        </w:rPr>
      </w:pPr>
      <w:r w:rsidDel="00000000" w:rsidR="00000000" w:rsidRPr="00000000">
        <w:rPr>
          <w:i w:val="1"/>
          <w:iCs w:val="1"/>
          <w:rtl w:val="0"/>
        </w:rPr>
        <w:t xml:space="preserve">Sebbene si tratti di un documento tecnico su un acronimo “SIFT” diverso, introduce il principio fondamentale dell'utilizzo di metodologie strutturate per costruire sistemi sicuri, che può essere utilizzato per illustrare il valore di un approccio sistematico alla verifica.</w:t>
      </w:r>
    </w:p>
    <w:p w:rsidR="00000000" w:rsidDel="00000000" w:rsidP="00000000" w:rsidRDefault="00000000" w:rsidRPr="00000000" w14:paraId="00000029">
      <w:pPr>
        <w:numPr>
          <w:ilvl w:val="0"/>
          <w:numId w:val="4"/>
        </w:numPr>
        <w:spacing w:after="240" w:before="240" w:lineRule="auto"/>
        <w:ind w:left="720" w:hanging="360"/>
      </w:pPr>
      <w:r w:rsidDel="00000000" w:rsidR="00000000" w:rsidRPr="00000000">
        <w:rPr>
          <w:rtl w:val="0"/>
        </w:rPr>
        <w:t xml:space="preserve">Amerini, I., Ballan, L., Caldelli, R., Del Bimbo, A., &amp; Serra, G. (2011). A sift-based forensic method for copy–move attack detection and transformation recovery. IEEE Transactions on Information Forensics and Security, 6(3), 1099-1110. https://ieeexplore.ieee.org/document/5734842</w:t>
      </w:r>
    </w:p>
    <w:p w:rsidR="00000000" w:rsidDel="00000000" w:rsidP="00000000" w:rsidRDefault="00000000" w:rsidRPr="00000000" w14:paraId="0000002A">
      <w:pPr>
        <w:spacing w:after="240" w:before="240" w:lineRule="auto"/>
        <w:rPr>
          <w:i w:val="1"/>
          <w:iCs w:val="1"/>
        </w:rPr>
      </w:pPr>
      <w:r w:rsidDel="00000000" w:rsidR="00000000" w:rsidRPr="00000000">
        <w:rPr>
          <w:i w:val="1"/>
          <w:iCs w:val="1"/>
          <w:rtl w:val="0"/>
        </w:rPr>
        <w:t xml:space="preserve">Questa risorsa tecnica fornisce un'analisi approfondita dell'analisi forense, offrendo una spiegazione dettagliata della manipolazione delle immagini che è rilevante per l'attività di individuazione dei contenuti generati dall'intelligenza artificiale e delle immagini manipolate.</w:t>
      </w:r>
    </w:p>
    <w:p w:rsidR="00000000" w:rsidDel="00000000" w:rsidP="00000000" w:rsidRDefault="00000000" w:rsidRPr="00000000" w14:paraId="0000002B">
      <w:pPr>
        <w:numPr>
          <w:ilvl w:val="0"/>
          <w:numId w:val="27"/>
        </w:numPr>
        <w:spacing w:after="240" w:before="240" w:lineRule="auto"/>
        <w:ind w:left="720" w:hanging="360"/>
      </w:pPr>
      <w:r w:rsidDel="00000000" w:rsidR="00000000" w:rsidRPr="00000000">
        <w:rPr>
          <w:rtl w:val="0"/>
        </w:rPr>
        <w:t xml:space="preserve">Muis, K. R., Denton, C., &amp; Dubé, A. (2022). Identifying CRAAP on the internet: A source evaluation intervention. </w:t>
      </w:r>
      <w:r w:rsidDel="00000000" w:rsidR="00000000" w:rsidRPr="00000000">
        <w:rPr>
          <w:i w:val="1"/>
          <w:iCs w:val="1"/>
          <w:rtl w:val="0"/>
        </w:rPr>
        <w:t xml:space="preserve">Advances in Social Sciences Research Journal</w:t>
      </w:r>
      <w:r w:rsidDel="00000000" w:rsidR="00000000" w:rsidRPr="00000000">
        <w:rPr>
          <w:rtl w:val="0"/>
        </w:rPr>
        <w:t xml:space="preserve">, </w:t>
      </w:r>
      <w:r w:rsidDel="00000000" w:rsidR="00000000" w:rsidRPr="00000000">
        <w:rPr>
          <w:i w:val="1"/>
          <w:iCs w:val="1"/>
          <w:rtl w:val="0"/>
        </w:rPr>
        <w:t xml:space="preserve">9</w:t>
      </w:r>
      <w:r w:rsidDel="00000000" w:rsidR="00000000" w:rsidRPr="00000000">
        <w:rPr>
          <w:rtl w:val="0"/>
        </w:rPr>
        <w:t xml:space="preserve">(7), 239-265. https://www.researchgate.net/profile/Adam-Dube/publication/362327098_Identifying_CRAAP_on_the_Internet_A_Source_Evaluation_Intervention/links/62fea0dfceb9764f7206d5a7/Identifying-CRAAP-on-the-Internet-A-Source-Evaluation-Intervention.pdf</w:t>
      </w:r>
    </w:p>
    <w:p w:rsidR="00000000" w:rsidDel="00000000" w:rsidP="00000000" w:rsidRDefault="00000000" w:rsidRPr="00000000" w14:paraId="0000002C">
      <w:pPr>
        <w:spacing w:after="240" w:before="240" w:lineRule="auto"/>
        <w:rPr>
          <w:i w:val="1"/>
          <w:iCs w:val="1"/>
        </w:rPr>
      </w:pPr>
      <w:r w:rsidDel="00000000" w:rsidR="00000000" w:rsidRPr="00000000">
        <w:rPr>
          <w:i w:val="1"/>
          <w:iCs w:val="1"/>
          <w:rtl w:val="0"/>
        </w:rPr>
        <w:t xml:space="preserve">Questa ricerca fornisce un intervento pratico per l'insegnamento del metodo CRAAP, offrendo una solida risorsa accademica per l'implementazione dell'attività CRAAP.</w:t>
      </w:r>
    </w:p>
    <w:p w:rsidR="00000000" w:rsidDel="00000000" w:rsidP="00000000" w:rsidRDefault="00000000" w:rsidRPr="00000000" w14:paraId="0000002D">
      <w:pPr>
        <w:numPr>
          <w:ilvl w:val="0"/>
          <w:numId w:val="16"/>
        </w:numPr>
        <w:spacing w:after="240" w:before="240" w:lineRule="auto"/>
        <w:ind w:left="720" w:hanging="360"/>
        <w:rPr/>
      </w:pPr>
      <w:r w:rsidDel="00000000" w:rsidR="00000000" w:rsidRPr="00000000">
        <w:rPr>
          <w:rtl w:val="0"/>
        </w:rPr>
        <w:t xml:space="preserve">Hwang, Y., Ryu, J. Y., &amp; Jeong, S.-H. (2021). Effects of disinformation using deepfake: The protective effect of media literacy education. </w:t>
      </w:r>
      <w:r w:rsidDel="00000000" w:rsidR="00000000" w:rsidRPr="00000000">
        <w:rPr>
          <w:i w:val="1"/>
          <w:iCs w:val="1"/>
          <w:rtl w:val="0"/>
        </w:rPr>
        <w:t xml:space="preserve">Cyberpsychology, Behavior, and Social Networking, 24</w:t>
      </w:r>
      <w:r w:rsidDel="00000000" w:rsidR="00000000" w:rsidRPr="00000000">
        <w:rPr>
          <w:rtl w:val="0"/>
        </w:rPr>
        <w:t xml:space="preserve">(3), 188–193. </w:t>
      </w:r>
      <w:hyperlink r:id="rId9">
        <w:r w:rsidDel="00000000" w:rsidR="00000000" w:rsidRPr="00000000">
          <w:rPr>
            <w:color w:val="1155cc"/>
            <w:u w:val="single"/>
            <w:rtl w:val="0"/>
          </w:rPr>
          <w:t xml:space="preserve">https://www.liebertpub.com/doi/10.1089/cyber.2020.0174</w:t>
        </w:r>
      </w:hyperlink>
      <w:r w:rsidDel="00000000" w:rsidR="00000000" w:rsidRPr="00000000">
        <w:rPr>
          <w:rtl w:val="0"/>
        </w:rPr>
      </w:r>
    </w:p>
    <w:p w:rsidR="00000000" w:rsidDel="00000000" w:rsidP="00000000" w:rsidRDefault="00000000" w:rsidRPr="00000000" w14:paraId="0000002E">
      <w:pPr>
        <w:spacing w:after="240" w:before="240" w:lineRule="auto"/>
        <w:rPr>
          <w:i w:val="1"/>
          <w:iCs w:val="1"/>
        </w:rPr>
      </w:pPr>
      <w:r w:rsidDel="00000000" w:rsidR="00000000" w:rsidRPr="00000000">
        <w:rPr>
          <w:i w:val="1"/>
          <w:iCs w:val="1"/>
          <w:rtl w:val="0"/>
        </w:rPr>
        <w:t xml:space="preserve">Questo articolo fornisce una prospettiva supportata dalla ricerca sull'efficacia dell'educazione all'alfabetizzazione mediatica nella protezione contro la disinformazione deepfake, a sostegno dell'attività sui contenuti generati dall'intelligenza artificiale.</w:t>
      </w:r>
    </w:p>
    <w:p w:rsidR="00000000" w:rsidDel="00000000" w:rsidP="00000000" w:rsidRDefault="00000000" w:rsidRPr="00000000" w14:paraId="0000002F">
      <w:pPr>
        <w:spacing w:after="240" w:before="240" w:lineRule="auto"/>
        <w:rPr>
          <w:b w:val="1"/>
          <w:bCs w:val="1"/>
        </w:rPr>
      </w:pPr>
      <w:r w:rsidDel="00000000" w:rsidR="00000000" w:rsidRPr="00000000">
        <w:rPr>
          <w:b w:val="1"/>
          <w:bCs w:val="1"/>
          <w:rtl w:val="0"/>
        </w:rPr>
        <w:t xml:space="preserve">Sezione 5: Alfabetizzazione sui social media</w:t>
      </w:r>
    </w:p>
    <w:p w:rsidR="00000000" w:rsidDel="00000000" w:rsidP="00000000" w:rsidRDefault="00000000" w:rsidRPr="00000000" w14:paraId="00000030">
      <w:pPr>
        <w:spacing w:after="240" w:before="240" w:lineRule="auto"/>
        <w:rPr>
          <w:i w:val="1"/>
          <w:iCs w:val="1"/>
        </w:rPr>
      </w:pPr>
      <w:r w:rsidDel="00000000" w:rsidR="00000000" w:rsidRPr="00000000">
        <w:rPr>
          <w:i w:val="1"/>
          <w:iCs w:val="1"/>
          <w:rtl w:val="0"/>
        </w:rPr>
        <w:t xml:space="preserve">Questa sezione si concentra sulle dinamiche uniche dei social media. Le letture forniscono un contesto su come le piattaforme, gli algoritmi e la psicologia umana interagiscono per diffondere la disinformazione.</w:t>
      </w:r>
    </w:p>
    <w:p w:rsidR="00000000" w:rsidDel="00000000" w:rsidP="00000000" w:rsidRDefault="00000000" w:rsidRPr="00000000" w14:paraId="00000031">
      <w:pPr>
        <w:numPr>
          <w:ilvl w:val="0"/>
          <w:numId w:val="8"/>
        </w:numPr>
        <w:spacing w:after="240" w:before="240" w:lineRule="auto"/>
        <w:ind w:left="720" w:hanging="360"/>
      </w:pPr>
      <w:r w:rsidDel="00000000" w:rsidR="00000000" w:rsidRPr="00000000">
        <w:rPr>
          <w:rtl w:val="0"/>
        </w:rPr>
        <w:t xml:space="preserve">Polanco-Levicán, K., &amp; Salvo-Garrido, S. (2022). Understanding social media literacy: A systematic review of the concept and its competences. International Journal of Environmental Research and Public Health, 19(14), 8807. https://doi.org/10.3390/ijerph19148807</w:t>
      </w:r>
    </w:p>
    <w:p w:rsidR="00000000" w:rsidDel="00000000" w:rsidP="00000000" w:rsidRDefault="00000000" w:rsidRPr="00000000" w14:paraId="00000032">
      <w:pPr>
        <w:spacing w:after="240" w:before="240" w:lineRule="auto"/>
        <w:rPr>
          <w:i w:val="1"/>
          <w:iCs w:val="1"/>
        </w:rPr>
      </w:pPr>
      <w:r w:rsidDel="00000000" w:rsidR="00000000" w:rsidRPr="00000000">
        <w:rPr>
          <w:i w:val="1"/>
          <w:iCs w:val="1"/>
          <w:rtl w:val="0"/>
        </w:rPr>
        <w:t xml:space="preserve">Questa revisione sistematica fornisce una definizione chiara e supportata dalla ricerca dell'alfabetizzazione sui social media e delle sue competenze chiave, informando direttamente il contenuto di questa sezione.</w:t>
      </w:r>
    </w:p>
    <w:p w:rsidR="00000000" w:rsidDel="00000000" w:rsidP="00000000" w:rsidRDefault="00000000" w:rsidRPr="00000000" w14:paraId="00000033">
      <w:pPr>
        <w:numPr>
          <w:ilvl w:val="0"/>
          <w:numId w:val="14"/>
        </w:numPr>
        <w:spacing w:after="240" w:before="240" w:lineRule="auto"/>
        <w:ind w:left="720" w:hanging="360"/>
      </w:pPr>
      <w:r w:rsidDel="00000000" w:rsidR="00000000" w:rsidRPr="00000000">
        <w:rPr>
          <w:rtl w:val="0"/>
        </w:rPr>
        <w:t xml:space="preserve">Vraga, E. K., &amp; Bode, L. (2020). Defining misinformation and understanding its bounded nature: Using expertise and evidence for describing misinformation. Political Communication, 37(1), 136-144. https://doi.org/10.1080/10584609.2020.1716500</w:t>
      </w:r>
    </w:p>
    <w:p w:rsidR="00000000" w:rsidDel="00000000" w:rsidP="00000000" w:rsidRDefault="00000000" w:rsidRPr="00000000" w14:paraId="00000034">
      <w:pPr>
        <w:spacing w:after="240" w:before="240" w:lineRule="auto"/>
        <w:rPr>
          <w:i w:val="1"/>
          <w:iCs w:val="1"/>
        </w:rPr>
      </w:pPr>
      <w:r w:rsidDel="00000000" w:rsidR="00000000" w:rsidRPr="00000000">
        <w:rPr>
          <w:i w:val="1"/>
          <w:iCs w:val="1"/>
          <w:rtl w:val="0"/>
        </w:rPr>
        <w:t xml:space="preserve">Un articolo fondamentale per comprendere come la disinformazione viene classificata e diffusa, essenziale per l'attività “Digital Breakout”.</w:t>
      </w:r>
    </w:p>
    <w:p w:rsidR="00000000" w:rsidDel="00000000" w:rsidP="00000000" w:rsidRDefault="00000000" w:rsidRPr="00000000" w14:paraId="00000035">
      <w:pPr>
        <w:numPr>
          <w:ilvl w:val="0"/>
          <w:numId w:val="25"/>
        </w:numPr>
        <w:spacing w:after="240" w:before="240" w:lineRule="auto"/>
        <w:ind w:left="720" w:hanging="360"/>
      </w:pPr>
      <w:r w:rsidDel="00000000" w:rsidR="00000000" w:rsidRPr="00000000">
        <w:rPr>
          <w:rtl w:val="0"/>
        </w:rPr>
        <w:t xml:space="preserve">Cho, H., Cannon, J., Lopez, R., &amp; Li, W. (2024). Social media literacy: A conceptual framework. New media &amp; society, 26(2), 941-960. https://doi.org/10.1177/14614448211068530</w:t>
      </w:r>
    </w:p>
    <w:p w:rsidR="00000000" w:rsidDel="00000000" w:rsidP="00000000" w:rsidRDefault="00000000" w:rsidRPr="00000000" w14:paraId="00000036">
      <w:pPr>
        <w:spacing w:after="240" w:before="240" w:lineRule="auto"/>
        <w:rPr>
          <w:i w:val="1"/>
          <w:iCs w:val="1"/>
        </w:rPr>
      </w:pPr>
      <w:r w:rsidDel="00000000" w:rsidR="00000000" w:rsidRPr="00000000">
        <w:rPr>
          <w:i w:val="1"/>
          <w:iCs w:val="1"/>
          <w:rtl w:val="0"/>
        </w:rPr>
        <w:t xml:space="preserve">Questo articolo fornisce un quadro concettuale dettagliato per l'alfabetizzazione ai social media, molto utile per contestualizzare l'approccio del modulo.</w:t>
      </w:r>
    </w:p>
    <w:p w:rsidR="00000000" w:rsidDel="00000000" w:rsidP="00000000" w:rsidRDefault="00000000" w:rsidRPr="00000000" w14:paraId="00000037">
      <w:pPr>
        <w:numPr>
          <w:ilvl w:val="0"/>
          <w:numId w:val="3"/>
        </w:numPr>
        <w:spacing w:after="240" w:before="240" w:lineRule="auto"/>
        <w:ind w:left="720" w:hanging="360"/>
      </w:pPr>
      <w:r w:rsidDel="00000000" w:rsidR="00000000" w:rsidRPr="00000000">
        <w:rPr>
          <w:rtl w:val="0"/>
        </w:rPr>
        <w:t xml:space="preserve">Pennycook, G., &amp; Rand, D. G. (2019). Fighting misinformation on social media using crowdsourced judgments of news source quality. Proceedings of the National Academy of Sciences, 116(25), 12514-12519. https://doi.org/10.1073/pnas.1806781116</w:t>
      </w:r>
    </w:p>
    <w:p w:rsidR="00000000" w:rsidDel="00000000" w:rsidP="00000000" w:rsidRDefault="00000000" w:rsidRPr="00000000" w14:paraId="00000038">
      <w:pPr>
        <w:spacing w:after="240" w:before="240" w:lineRule="auto"/>
        <w:rPr>
          <w:i w:val="1"/>
          <w:iCs w:val="1"/>
        </w:rPr>
      </w:pPr>
      <w:r w:rsidDel="00000000" w:rsidR="00000000" w:rsidRPr="00000000">
        <w:rPr>
          <w:i w:val="1"/>
          <w:iCs w:val="1"/>
          <w:rtl w:val="0"/>
        </w:rPr>
        <w:t xml:space="preserve">Uno studio fondamentale su come il crowdsourcing possa essere utilizzato come strumento per combattere la disinformazione sui social media, offrendo una prospettiva scientifica che informa le strategie per identificare e combattere le notizie false.</w:t>
      </w:r>
    </w:p>
    <w:p w:rsidR="00000000" w:rsidDel="00000000" w:rsidP="00000000" w:rsidRDefault="00000000" w:rsidRPr="00000000" w14:paraId="00000039">
      <w:pPr>
        <w:spacing w:after="240" w:before="240" w:lineRule="auto"/>
        <w:rPr>
          <w:b w:val="1"/>
          <w:bCs w:val="1"/>
        </w:rPr>
      </w:pPr>
      <w:r w:rsidDel="00000000" w:rsidR="00000000" w:rsidRPr="00000000">
        <w:rPr>
          <w:b w:val="1"/>
          <w:bCs w:val="1"/>
          <w:rtl w:val="0"/>
        </w:rPr>
        <w:t xml:space="preserve">Sezione 6: Azione contro la disinformazione</w:t>
      </w:r>
    </w:p>
    <w:p w:rsidR="00000000" w:rsidDel="00000000" w:rsidP="00000000" w:rsidRDefault="00000000" w:rsidRPr="00000000" w14:paraId="0000003A">
      <w:pPr>
        <w:spacing w:after="240" w:before="240" w:lineRule="auto"/>
        <w:rPr>
          <w:i w:val="1"/>
          <w:iCs w:val="1"/>
        </w:rPr>
      </w:pPr>
      <w:r w:rsidDel="00000000" w:rsidR="00000000" w:rsidRPr="00000000">
        <w:rPr>
          <w:i w:val="1"/>
          <w:iCs w:val="1"/>
          <w:rtl w:val="0"/>
        </w:rPr>
        <w:t xml:space="preserve">Questa sezione riguarda la traduzione della conoscenza in azione. Le letture si concentrano sulle metodologie pratiche e sul ruolo delle parti interessate nella lotta alla disinformazione.</w:t>
      </w:r>
    </w:p>
    <w:p w:rsidR="00000000" w:rsidDel="00000000" w:rsidP="00000000" w:rsidRDefault="00000000" w:rsidRPr="00000000" w14:paraId="0000003B">
      <w:pPr>
        <w:numPr>
          <w:ilvl w:val="0"/>
          <w:numId w:val="12"/>
        </w:numPr>
        <w:spacing w:after="240" w:before="240" w:lineRule="auto"/>
        <w:ind w:left="720" w:hanging="360"/>
      </w:pPr>
      <w:r w:rsidDel="00000000" w:rsidR="00000000" w:rsidRPr="00000000">
        <w:rPr>
          <w:rtl w:val="0"/>
        </w:rPr>
        <w:t xml:space="preserve">Filak, V. F. (2024). Exploring mass communication: Connecting with the world of media (2nd ed.). SAGE Publications.</w:t>
      </w:r>
    </w:p>
    <w:p w:rsidR="00000000" w:rsidDel="00000000" w:rsidP="00000000" w:rsidRDefault="00000000" w:rsidRPr="00000000" w14:paraId="0000003C">
      <w:pPr>
        <w:spacing w:after="240" w:before="240" w:lineRule="auto"/>
        <w:rPr>
          <w:i w:val="1"/>
          <w:iCs w:val="1"/>
        </w:rPr>
      </w:pPr>
      <w:r w:rsidDel="00000000" w:rsidR="00000000" w:rsidRPr="00000000">
        <w:rPr>
          <w:i w:val="1"/>
          <w:iCs w:val="1"/>
          <w:rtl w:val="0"/>
        </w:rPr>
        <w:t xml:space="preserve">Questa è la fonte della metodologia di Vincent F. Filak. Il libro fornisce i principi fondamentali per la verifica dei fatti e l'alfabetizzazione mediatica che sono centrali in questa attività.</w:t>
      </w:r>
    </w:p>
    <w:p w:rsidR="00000000" w:rsidDel="00000000" w:rsidP="00000000" w:rsidRDefault="00000000" w:rsidRPr="00000000" w14:paraId="0000003D">
      <w:pPr>
        <w:numPr>
          <w:ilvl w:val="0"/>
          <w:numId w:val="2"/>
        </w:numPr>
        <w:spacing w:after="240" w:before="240" w:lineRule="auto"/>
        <w:ind w:left="720" w:hanging="360"/>
      </w:pPr>
      <w:r w:rsidDel="00000000" w:rsidR="00000000" w:rsidRPr="00000000">
        <w:rPr>
          <w:rtl w:val="0"/>
        </w:rPr>
        <w:t xml:space="preserve">Fowler-Watt, K., &amp; McDougall, J. (2019). Media literacy versus fake news: fact checking and verification in the era of fake news and post-truths. Journalism Education: The Journal of the Association for Journalism Education, 8(1), 59-68. https://eprints.bournemouth.ac.uk/32851/</w:t>
      </w:r>
    </w:p>
    <w:p w:rsidR="00000000" w:rsidDel="00000000" w:rsidP="00000000" w:rsidRDefault="00000000" w:rsidRPr="00000000" w14:paraId="0000003E">
      <w:pPr>
        <w:spacing w:after="240" w:before="240" w:lineRule="auto"/>
        <w:rPr>
          <w:i w:val="1"/>
          <w:iCs w:val="1"/>
        </w:rPr>
      </w:pPr>
      <w:r w:rsidDel="00000000" w:rsidR="00000000" w:rsidRPr="00000000">
        <w:rPr>
          <w:i w:val="1"/>
          <w:iCs w:val="1"/>
          <w:rtl w:val="0"/>
        </w:rPr>
        <w:t xml:space="preserve">Un articolo di grande rilevanza che esplora l'importanza del fact-checking e della verifica, sostenendo direttamente la logica alla base della creazione di una checklist di verifica.</w:t>
      </w:r>
    </w:p>
    <w:p w:rsidR="00000000" w:rsidDel="00000000" w:rsidP="00000000" w:rsidRDefault="00000000" w:rsidRPr="00000000" w14:paraId="0000003F">
      <w:pPr>
        <w:numPr>
          <w:ilvl w:val="0"/>
          <w:numId w:val="11"/>
        </w:numPr>
        <w:spacing w:after="240" w:before="240" w:lineRule="auto"/>
        <w:ind w:left="720" w:hanging="360"/>
      </w:pPr>
      <w:r w:rsidDel="00000000" w:rsidR="00000000" w:rsidRPr="00000000">
        <w:rPr>
          <w:rtl w:val="0"/>
        </w:rPr>
        <w:t xml:space="preserve">Ku, K. Y., Fung, T. M., Au, A. C., Choy, A. Y., Kajimoto, M., &amp; Song, Y. (2025). Helping young students cope with the threat of fake news: efficacy of news literacy training for junior-secondary school students in Hong Kong. </w:t>
      </w:r>
      <w:r w:rsidDel="00000000" w:rsidR="00000000" w:rsidRPr="00000000">
        <w:rPr>
          <w:i w:val="1"/>
          <w:iCs w:val="1"/>
          <w:rtl w:val="0"/>
        </w:rPr>
        <w:t xml:space="preserve">Educational Studies</w:t>
      </w:r>
      <w:r w:rsidDel="00000000" w:rsidR="00000000" w:rsidRPr="00000000">
        <w:rPr>
          <w:rtl w:val="0"/>
        </w:rPr>
        <w:t xml:space="preserve">, </w:t>
      </w:r>
      <w:r w:rsidDel="00000000" w:rsidR="00000000" w:rsidRPr="00000000">
        <w:rPr>
          <w:i w:val="1"/>
          <w:iCs w:val="1"/>
          <w:rtl w:val="0"/>
        </w:rPr>
        <w:t xml:space="preserve">51</w:t>
      </w:r>
      <w:r w:rsidDel="00000000" w:rsidR="00000000" w:rsidRPr="00000000">
        <w:rPr>
          <w:rtl w:val="0"/>
        </w:rPr>
        <w:t xml:space="preserve">(4), 588-606.</w:t>
      </w:r>
    </w:p>
    <w:p w:rsidR="00000000" w:rsidDel="00000000" w:rsidP="00000000" w:rsidRDefault="00000000" w:rsidRPr="00000000" w14:paraId="00000040">
      <w:pPr>
        <w:spacing w:after="240" w:before="240" w:lineRule="auto"/>
        <w:rPr/>
      </w:pPr>
      <w:r w:rsidDel="00000000" w:rsidR="00000000" w:rsidRPr="00000000">
        <w:rPr>
          <w:rtl w:val="0"/>
        </w:rPr>
        <w:t xml:space="preserve">https://www.tandfonline.com/doi/full/10.1080/03055698.2023.2296345</w:t>
      </w:r>
    </w:p>
    <w:p w:rsidR="00000000" w:rsidDel="00000000" w:rsidP="00000000" w:rsidRDefault="00000000" w:rsidRPr="00000000" w14:paraId="00000041">
      <w:pPr>
        <w:numPr>
          <w:ilvl w:val="0"/>
          <w:numId w:val="26"/>
        </w:numPr>
        <w:spacing w:after="240" w:before="240" w:lineRule="auto"/>
        <w:ind w:left="720" w:hanging="360"/>
      </w:pPr>
      <w:r w:rsidDel="00000000" w:rsidR="00000000" w:rsidRPr="00000000">
        <w:rPr>
          <w:rtl w:val="0"/>
        </w:rPr>
        <w:t xml:space="preserve">Lewandowsky, S., Ecker, U. K. H., &amp; Cook, J. (2017). Beyond misinformation: Understanding and coping with the “post-truth” era. Journal of Applied Research in Memory and Cognition, 6(4), 353-369. https://doi.org/10.1016/j.jarmac.2017.07.008</w:t>
      </w:r>
    </w:p>
    <w:p w:rsidR="00000000" w:rsidDel="00000000" w:rsidP="00000000" w:rsidRDefault="00000000" w:rsidRPr="00000000" w14:paraId="00000042">
      <w:pPr>
        <w:spacing w:after="240" w:before="240" w:lineRule="auto"/>
        <w:rPr>
          <w:i w:val="1"/>
          <w:iCs w:val="1"/>
        </w:rPr>
      </w:pPr>
      <w:r w:rsidDel="00000000" w:rsidR="00000000" w:rsidRPr="00000000">
        <w:rPr>
          <w:i w:val="1"/>
          <w:iCs w:val="1"/>
          <w:rtl w:val="0"/>
        </w:rPr>
        <w:t xml:space="preserve">Questo articolo discute come le persone affrontano la disinformazione e fornisce strategie per sviluppare la resilienza, direttamente applicabili alla creazione di un piano d'azione personale.</w:t>
      </w:r>
    </w:p>
    <w:p w:rsidR="00000000" w:rsidDel="00000000" w:rsidP="00000000" w:rsidRDefault="00000000" w:rsidRPr="00000000" w14:paraId="00000043">
      <w:pPr>
        <w:numPr>
          <w:ilvl w:val="0"/>
          <w:numId w:val="13"/>
        </w:numPr>
        <w:spacing w:after="240" w:before="240" w:lineRule="auto"/>
        <w:ind w:left="720" w:hanging="360"/>
      </w:pPr>
      <w:r w:rsidDel="00000000" w:rsidR="00000000" w:rsidRPr="00000000">
        <w:rPr>
          <w:rtl w:val="0"/>
        </w:rPr>
        <w:t xml:space="preserve">Wright, R. R., Sandlin, J. A., &amp; Burdick, J. (2023). What is critical media literacy in an age of disinformation? </w:t>
      </w:r>
      <w:r w:rsidDel="00000000" w:rsidR="00000000" w:rsidRPr="00000000">
        <w:rPr>
          <w:i w:val="1"/>
          <w:iCs w:val="1"/>
          <w:rtl w:val="0"/>
        </w:rPr>
        <w:t xml:space="preserve">New Directions for Adult and Continuing Education, 2023</w:t>
      </w:r>
      <w:r w:rsidDel="00000000" w:rsidR="00000000" w:rsidRPr="00000000">
        <w:rPr>
          <w:rtl w:val="0"/>
        </w:rPr>
        <w:t xml:space="preserve">(178), 11–25. https://onlinelibrary.wiley.com/doi/full/10.1002/ace.20485</w:t>
      </w:r>
    </w:p>
    <w:p w:rsidR="00000000" w:rsidDel="00000000" w:rsidP="00000000" w:rsidRDefault="00000000" w:rsidRPr="00000000" w14:paraId="00000044">
      <w:pPr>
        <w:spacing w:after="240" w:before="240" w:lineRule="auto"/>
        <w:rPr>
          <w:i w:val="1"/>
          <w:iCs w:val="1"/>
        </w:rPr>
      </w:pPr>
      <w:r w:rsidDel="00000000" w:rsidR="00000000" w:rsidRPr="00000000">
        <w:rPr>
          <w:i w:val="1"/>
          <w:iCs w:val="1"/>
          <w:rtl w:val="0"/>
        </w:rPr>
        <w:t xml:space="preserve">Questo articolo fornisce una prospettiva contemporanea sull'alfabetizzazione mediatica nell'era della disinformazione, offrendo una guida su come dovrebbe essere una pratica integrata e permanente, che è l'obiettivo principale di questa sezione.</w:t>
      </w:r>
    </w:p>
    <w:p w:rsidR="00000000" w:rsidDel="00000000" w:rsidP="00000000" w:rsidRDefault="00000000" w:rsidRPr="00000000" w14:paraId="00000045">
      <w:pPr>
        <w:spacing w:after="240" w:before="240" w:lineRule="auto"/>
        <w:rPr>
          <w:b w:val="1"/>
          <w:bCs w:val="1"/>
        </w:rPr>
      </w:pPr>
      <w:r w:rsidDel="00000000" w:rsidR="00000000" w:rsidRPr="00000000">
        <w:rPr>
          <w:b w:val="1"/>
          <w:bCs w:val="1"/>
          <w:rtl w:val="0"/>
        </w:rPr>
        <w:t xml:space="preserve">Sezione 7: Conclusione e risorse</w:t>
      </w:r>
    </w:p>
    <w:p w:rsidR="00000000" w:rsidDel="00000000" w:rsidP="00000000" w:rsidRDefault="00000000" w:rsidRPr="00000000" w14:paraId="00000046">
      <w:pPr>
        <w:spacing w:after="240" w:before="240" w:lineRule="auto"/>
        <w:rPr>
          <w:i w:val="1"/>
          <w:iCs w:val="1"/>
        </w:rPr>
      </w:pPr>
      <w:r w:rsidDel="00000000" w:rsidR="00000000" w:rsidRPr="00000000">
        <w:rPr>
          <w:i w:val="1"/>
          <w:iCs w:val="1"/>
          <w:rtl w:val="0"/>
        </w:rPr>
        <w:t xml:space="preserve">Questa sezione riguarda l'applicazione a lungo termine e la riflessione critica sul futuro dell'alfabetizzazione informativa. Le letture incoraggiano una visione lungimirante e una prospettiva equilibrata sulla tecnologia.</w:t>
      </w:r>
    </w:p>
    <w:p w:rsidR="00000000" w:rsidDel="00000000" w:rsidP="00000000" w:rsidRDefault="00000000" w:rsidRPr="00000000" w14:paraId="00000047">
      <w:pPr>
        <w:numPr>
          <w:ilvl w:val="0"/>
          <w:numId w:val="15"/>
        </w:numPr>
        <w:spacing w:after="240" w:before="240" w:lineRule="auto"/>
        <w:ind w:left="720" w:hanging="360"/>
      </w:pPr>
      <w:r w:rsidDel="00000000" w:rsidR="00000000" w:rsidRPr="00000000">
        <w:rPr>
          <w:rtl w:val="0"/>
        </w:rPr>
        <w:t xml:space="preserve">Brandtzaeg, P. B., &amp; Følstad, A. (2017). Trust and distrust in online fact-checking services. </w:t>
      </w:r>
      <w:r w:rsidDel="00000000" w:rsidR="00000000" w:rsidRPr="00000000">
        <w:rPr>
          <w:i w:val="1"/>
          <w:iCs w:val="1"/>
          <w:rtl w:val="0"/>
        </w:rPr>
        <w:t xml:space="preserve">Communications of the ACM, 60</w:t>
      </w:r>
      <w:r w:rsidDel="00000000" w:rsidR="00000000" w:rsidRPr="00000000">
        <w:rPr>
          <w:rtl w:val="0"/>
        </w:rPr>
        <w:t xml:space="preserve">(9), 65–71. https://dl.acm.org/doi/10.1145/3122803</w:t>
      </w:r>
    </w:p>
    <w:p w:rsidR="00000000" w:rsidDel="00000000" w:rsidP="00000000" w:rsidRDefault="00000000" w:rsidRPr="00000000" w14:paraId="00000048">
      <w:pPr>
        <w:spacing w:after="240" w:before="240" w:lineRule="auto"/>
        <w:rPr>
          <w:i w:val="1"/>
          <w:iCs w:val="1"/>
        </w:rPr>
      </w:pPr>
      <w:r w:rsidDel="00000000" w:rsidR="00000000" w:rsidRPr="00000000">
        <w:rPr>
          <w:i w:val="1"/>
          <w:iCs w:val="1"/>
          <w:rtl w:val="0"/>
        </w:rPr>
        <w:t xml:space="preserve">Uno studio sulla fiducia degli utenti negli strumenti di verifica dei fatti, molto rilevante per la discussione “Strumenti vs Verità”, poiché esplora i limiti e le sfumature dell'affidarsi alla tecnologia.</w:t>
      </w:r>
    </w:p>
    <w:p w:rsidR="00000000" w:rsidDel="00000000" w:rsidP="00000000" w:rsidRDefault="00000000" w:rsidRPr="00000000" w14:paraId="00000049">
      <w:pPr>
        <w:numPr>
          <w:ilvl w:val="0"/>
          <w:numId w:val="7"/>
        </w:numPr>
        <w:spacing w:after="240" w:before="240" w:lineRule="auto"/>
        <w:ind w:left="720" w:hanging="360"/>
      </w:pPr>
      <w:r w:rsidDel="00000000" w:rsidR="00000000" w:rsidRPr="00000000">
        <w:rPr>
          <w:rtl w:val="0"/>
        </w:rPr>
        <w:t xml:space="preserve">Grassini, S. (2023). Shaping the future of education: Exploring the potential and consequences of AI and ChatGPT in educational settings. </w:t>
      </w:r>
      <w:r w:rsidDel="00000000" w:rsidR="00000000" w:rsidRPr="00000000">
        <w:rPr>
          <w:i w:val="1"/>
          <w:iCs w:val="1"/>
          <w:rtl w:val="0"/>
        </w:rPr>
        <w:t xml:space="preserve">Education Sciences, 13</w:t>
      </w:r>
      <w:r w:rsidDel="00000000" w:rsidR="00000000" w:rsidRPr="00000000">
        <w:rPr>
          <w:rtl w:val="0"/>
        </w:rPr>
        <w:t xml:space="preserve">(7), 692. https://doi.org/10.3390/educsci13070692</w:t>
      </w:r>
    </w:p>
    <w:p w:rsidR="00000000" w:rsidDel="00000000" w:rsidP="00000000" w:rsidRDefault="00000000" w:rsidRPr="00000000" w14:paraId="0000004A">
      <w:pPr>
        <w:spacing w:after="240" w:before="240" w:lineRule="auto"/>
        <w:rPr>
          <w:i w:val="1"/>
          <w:iCs w:val="1"/>
        </w:rPr>
      </w:pPr>
      <w:r w:rsidDel="00000000" w:rsidR="00000000" w:rsidRPr="00000000">
        <w:rPr>
          <w:i w:val="1"/>
          <w:iCs w:val="1"/>
          <w:rtl w:val="0"/>
        </w:rPr>
        <w:t xml:space="preserve">Questo articolo è un'ottima risorsa per la discussione “Strumenti contro verità”, poiché discute il potenziale dell'IA nell'istruzione, sollevando al contempo preoccupazioni sul suo uso diffuso, comprese questioni di accuratezza, affidabilità e plagio.</w:t>
      </w:r>
    </w:p>
    <w:p w:rsidR="00000000" w:rsidDel="00000000" w:rsidP="00000000" w:rsidRDefault="00000000" w:rsidRPr="00000000" w14:paraId="0000004B">
      <w:pPr>
        <w:numPr>
          <w:ilvl w:val="0"/>
          <w:numId w:val="18"/>
        </w:numPr>
        <w:spacing w:after="240" w:before="240" w:lineRule="auto"/>
        <w:ind w:left="720" w:hanging="360"/>
      </w:pPr>
      <w:r w:rsidDel="00000000" w:rsidR="00000000" w:rsidRPr="00000000">
        <w:rPr>
          <w:rtl w:val="0"/>
        </w:rPr>
        <w:t xml:space="preserve">Wright, R. R., Sandlin, J. A., &amp; Burdick, J. (2023). What is critical media literacy in an age of disinformation? </w:t>
      </w:r>
      <w:r w:rsidDel="00000000" w:rsidR="00000000" w:rsidRPr="00000000">
        <w:rPr>
          <w:i w:val="1"/>
          <w:iCs w:val="1"/>
          <w:rtl w:val="0"/>
        </w:rPr>
        <w:t xml:space="preserve">New Directions for Adult and Continuing Education, 2023</w:t>
      </w:r>
      <w:r w:rsidDel="00000000" w:rsidR="00000000" w:rsidRPr="00000000">
        <w:rPr>
          <w:rtl w:val="0"/>
        </w:rPr>
        <w:t xml:space="preserve">(178), 11–25. https://onlinelibrary.wiley.com/doi/full/10.1002/ace.20485</w:t>
      </w:r>
    </w:p>
    <w:p w:rsidR="00000000" w:rsidDel="00000000" w:rsidP="00000000" w:rsidRDefault="00000000" w:rsidRPr="00000000" w14:paraId="0000004C">
      <w:pPr>
        <w:spacing w:after="240" w:before="240" w:lineRule="auto"/>
        <w:rPr>
          <w:i w:val="1"/>
          <w:iCs w:val="1"/>
        </w:rPr>
      </w:pPr>
      <w:r w:rsidDel="00000000" w:rsidR="00000000" w:rsidRPr="00000000">
        <w:rPr>
          <w:i w:val="1"/>
          <w:iCs w:val="1"/>
          <w:rtl w:val="0"/>
        </w:rPr>
        <w:t xml:space="preserve">Questo articolo fornisce una prospettiva contemporanea sull'alfabetizzazione mediatica nell'era della disinformazione, offrendo una guida su come dovrebbe essere una pratica integrata e permanente, che è l'obiettivo principale di questa sezione.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ebertpub.com/doi/10.1089/cyber.2020.0174"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png"/><Relationship Id="rId8" Type="http://schemas.openxmlformats.org/officeDocument/2006/relationships/hyperlink" Target="https://doi.org/10.7771/1481-4374.224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